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5FAD" w14:textId="724E4292" w:rsidR="005734D3" w:rsidRDefault="00D9432C" w:rsidP="005734D3">
      <w:pPr>
        <w:jc w:val="center"/>
        <w:rPr>
          <w:b/>
        </w:rPr>
      </w:pPr>
      <w:r>
        <w:rPr>
          <w:b/>
        </w:rPr>
        <w:t>Teenuse osutamise leping</w:t>
      </w:r>
    </w:p>
    <w:p w14:paraId="3ED253F4" w14:textId="21E0DAC0" w:rsidR="00A75F89" w:rsidRDefault="00A75F89" w:rsidP="00A75F89">
      <w:pPr>
        <w:jc w:val="both"/>
      </w:pPr>
      <w:r>
        <w:rPr>
          <w:b/>
        </w:rPr>
        <w:br/>
      </w:r>
      <w:r w:rsidR="001C0C92">
        <w:rPr>
          <w:b/>
        </w:rPr>
        <w:t>T</w:t>
      </w:r>
      <w:r w:rsidR="006078FD">
        <w:rPr>
          <w:b/>
        </w:rPr>
        <w:t>arbijakaitse ja Tehnilise Järelevalve Amet</w:t>
      </w:r>
      <w:r>
        <w:rPr>
          <w:b/>
          <w:bCs/>
        </w:rPr>
        <w:t xml:space="preserve"> </w:t>
      </w:r>
      <w:r>
        <w:t>(edaspidi nimetatud “</w:t>
      </w:r>
      <w:r w:rsidR="000330B8">
        <w:rPr>
          <w:b/>
          <w:bCs/>
        </w:rPr>
        <w:t>Teenuse saaja</w:t>
      </w:r>
      <w:r>
        <w:t xml:space="preserve">”),  asukohaga </w:t>
      </w:r>
      <w:r w:rsidR="001C0C92">
        <w:t>Endla 10a</w:t>
      </w:r>
      <w:r>
        <w:t xml:space="preserve">, Tallinn </w:t>
      </w:r>
      <w:r w:rsidR="001C0C92">
        <w:t>101</w:t>
      </w:r>
      <w:r w:rsidR="00D5484D">
        <w:t>2</w:t>
      </w:r>
      <w:r w:rsidR="001C0C92">
        <w:t>2</w:t>
      </w:r>
      <w:r>
        <w:t xml:space="preserve">, </w:t>
      </w:r>
      <w:r w:rsidR="00D5484D">
        <w:t>mida</w:t>
      </w:r>
      <w:r w:rsidR="00F1196F" w:rsidRPr="00F1196F">
        <w:t xml:space="preserve"> põhimääruse alusel esindab </w:t>
      </w:r>
      <w:r w:rsidR="00D037A6">
        <w:t>peadirektor</w:t>
      </w:r>
      <w:r w:rsidR="00952509">
        <w:t xml:space="preserve"> Kristi Talving</w:t>
      </w:r>
      <w:r>
        <w:t>, ühelt poolt</w:t>
      </w:r>
      <w:r w:rsidR="00CF5386">
        <w:t>;</w:t>
      </w:r>
    </w:p>
    <w:p w14:paraId="6B1AE5C3" w14:textId="77777777" w:rsidR="00CF5386" w:rsidRDefault="00CF5386" w:rsidP="00A75F89">
      <w:pPr>
        <w:jc w:val="both"/>
      </w:pPr>
    </w:p>
    <w:p w14:paraId="642ACFF0" w14:textId="6ECBD4DB" w:rsidR="00CF5386" w:rsidRDefault="00CF5386" w:rsidP="00A75F89">
      <w:pPr>
        <w:jc w:val="both"/>
      </w:pPr>
      <w:r>
        <w:t>ja</w:t>
      </w:r>
    </w:p>
    <w:p w14:paraId="25EB84E5" w14:textId="77777777" w:rsidR="00A75F89" w:rsidRDefault="00A75F89" w:rsidP="00A75F89">
      <w:pPr>
        <w:jc w:val="both"/>
      </w:pPr>
    </w:p>
    <w:p w14:paraId="57560315" w14:textId="502C206E" w:rsidR="00A75F89" w:rsidRPr="00E529B9" w:rsidRDefault="00D5484D" w:rsidP="00E529B9">
      <w:pPr>
        <w:suppressAutoHyphens w:val="0"/>
        <w:jc w:val="both"/>
        <w:rPr>
          <w:rFonts w:ascii="Open Sans" w:hAnsi="Open Sans" w:cs="Open Sans"/>
          <w:color w:val="252525"/>
          <w:sz w:val="21"/>
          <w:szCs w:val="21"/>
          <w:lang w:eastAsia="et-EE"/>
        </w:rPr>
      </w:pPr>
      <w:r>
        <w:rPr>
          <w:b/>
          <w:bCs/>
        </w:rPr>
        <w:t>…</w:t>
      </w:r>
      <w:r w:rsidR="005734D3" w:rsidRPr="005734D3">
        <w:rPr>
          <w:b/>
          <w:bCs/>
        </w:rPr>
        <w:t xml:space="preserve"> </w:t>
      </w:r>
      <w:r w:rsidR="00A75F89">
        <w:t>(edaspidi nimetatud “</w:t>
      </w:r>
      <w:r w:rsidR="000330B8">
        <w:rPr>
          <w:b/>
          <w:bCs/>
        </w:rPr>
        <w:t>Teenuse osutaja</w:t>
      </w:r>
      <w:r w:rsidR="00A75F89">
        <w:t xml:space="preserve">”), registrikood </w:t>
      </w:r>
      <w:r w:rsidR="00E529B9" w:rsidRPr="00E529B9">
        <w:rPr>
          <w:rFonts w:ascii="Open Sans" w:hAnsi="Open Sans" w:cs="Open Sans"/>
          <w:color w:val="252525"/>
          <w:sz w:val="21"/>
          <w:szCs w:val="21"/>
          <w:lang w:eastAsia="et-EE"/>
        </w:rPr>
        <w:br/>
      </w:r>
      <w:r>
        <w:rPr>
          <w:color w:val="252525"/>
          <w:lang w:eastAsia="et-EE"/>
        </w:rPr>
        <w:t>…</w:t>
      </w:r>
      <w:r w:rsidR="00A75F89">
        <w:t xml:space="preserve">, asukohaga </w:t>
      </w:r>
      <w:r>
        <w:t>…</w:t>
      </w:r>
      <w:r w:rsidR="00A75F89" w:rsidRPr="00F50439">
        <w:t xml:space="preserve">, </w:t>
      </w:r>
      <w:r>
        <w:t>mida</w:t>
      </w:r>
      <w:r w:rsidR="00A75F89" w:rsidRPr="00F50439">
        <w:t xml:space="preserve"> </w:t>
      </w:r>
      <w:r>
        <w:t>…</w:t>
      </w:r>
      <w:r w:rsidR="0040600D" w:rsidRPr="0040600D">
        <w:t xml:space="preserve"> alusel </w:t>
      </w:r>
      <w:r w:rsidRPr="00F50439">
        <w:t xml:space="preserve">esindab </w:t>
      </w:r>
      <w:r>
        <w:t>…</w:t>
      </w:r>
      <w:r w:rsidR="00A75F89" w:rsidRPr="00757F28">
        <w:t>,</w:t>
      </w:r>
      <w:r w:rsidR="00A75F89" w:rsidRPr="00F50439">
        <w:t xml:space="preserve"> teiselt</w:t>
      </w:r>
      <w:r w:rsidR="00A75F89">
        <w:t xml:space="preserve"> poolt; </w:t>
      </w:r>
    </w:p>
    <w:p w14:paraId="19C117D2" w14:textId="77777777" w:rsidR="00A75F89" w:rsidRDefault="00A75F89" w:rsidP="00A75F89">
      <w:pPr>
        <w:jc w:val="both"/>
      </w:pPr>
    </w:p>
    <w:p w14:paraId="78813B1F" w14:textId="07E0069F" w:rsidR="00A75F89" w:rsidRDefault="00A75F89" w:rsidP="00A75F89">
      <w:pPr>
        <w:jc w:val="both"/>
      </w:pPr>
      <w:r>
        <w:t>keda nimetatakse koos ja eraldi edaspidi ka “</w:t>
      </w:r>
      <w:r>
        <w:rPr>
          <w:b/>
          <w:bCs/>
        </w:rPr>
        <w:t>Pool</w:t>
      </w:r>
      <w:r>
        <w:t>” ja/või “</w:t>
      </w:r>
      <w:r>
        <w:rPr>
          <w:b/>
          <w:bCs/>
        </w:rPr>
        <w:t>Pooled</w:t>
      </w:r>
      <w:r>
        <w:t>”, on sõlminud käesoleva lepingu (edaspidi nimetatud “</w:t>
      </w:r>
      <w:r>
        <w:rPr>
          <w:b/>
        </w:rPr>
        <w:t>Leping</w:t>
      </w:r>
      <w:r>
        <w:t>”) alljärgnevas:</w:t>
      </w:r>
    </w:p>
    <w:p w14:paraId="10C60F99" w14:textId="77777777" w:rsidR="00E341D8" w:rsidRDefault="00E341D8" w:rsidP="00A75F89">
      <w:pPr>
        <w:jc w:val="both"/>
      </w:pPr>
      <w:bookmarkStart w:id="0" w:name="_Hlk111642565"/>
    </w:p>
    <w:p w14:paraId="56645628" w14:textId="640812A5" w:rsidR="00A75F89" w:rsidRPr="00104DF4" w:rsidRDefault="00A75F89" w:rsidP="00A75F89">
      <w:pPr>
        <w:pStyle w:val="Loendilik"/>
        <w:numPr>
          <w:ilvl w:val="0"/>
          <w:numId w:val="4"/>
        </w:numPr>
        <w:tabs>
          <w:tab w:val="left" w:pos="720"/>
        </w:tabs>
        <w:jc w:val="both"/>
        <w:rPr>
          <w:b/>
        </w:rPr>
      </w:pPr>
      <w:r w:rsidRPr="00104DF4">
        <w:rPr>
          <w:b/>
        </w:rPr>
        <w:t>Lepingu ese</w:t>
      </w:r>
    </w:p>
    <w:p w14:paraId="23B22228" w14:textId="642D3627" w:rsidR="00D5484D" w:rsidRDefault="00A75F89" w:rsidP="00D5484D">
      <w:pPr>
        <w:pStyle w:val="Loendilik"/>
        <w:numPr>
          <w:ilvl w:val="1"/>
          <w:numId w:val="4"/>
        </w:numPr>
        <w:jc w:val="both"/>
      </w:pPr>
      <w:r>
        <w:t xml:space="preserve">Käesoleva Lepinguga kohustub </w:t>
      </w:r>
      <w:r w:rsidR="000330B8">
        <w:t>Teenuse osutaja</w:t>
      </w:r>
      <w:r w:rsidR="00EE63FB">
        <w:t xml:space="preserve"> </w:t>
      </w:r>
      <w:r w:rsidR="00051D4E">
        <w:t>teostama auditi, testides</w:t>
      </w:r>
      <w:r w:rsidR="00EE63FB">
        <w:t xml:space="preserve"> </w:t>
      </w:r>
      <w:r w:rsidR="004158CF">
        <w:t xml:space="preserve">pakkumuse </w:t>
      </w:r>
      <w:r w:rsidR="00EE63FB">
        <w:t xml:space="preserve">Lisas 1 nimetatud </w:t>
      </w:r>
      <w:r w:rsidR="00051D4E">
        <w:t xml:space="preserve">16 </w:t>
      </w:r>
      <w:r w:rsidR="00D82D7E">
        <w:t>veebi</w:t>
      </w:r>
      <w:r w:rsidR="00051D4E">
        <w:t xml:space="preserve">domeeni ja 8 </w:t>
      </w:r>
      <w:r w:rsidR="00D82D7E">
        <w:t>mobiili</w:t>
      </w:r>
      <w:r w:rsidR="00051D4E">
        <w:t>rakendust</w:t>
      </w:r>
      <w:r w:rsidR="00854C9B">
        <w:t>.</w:t>
      </w:r>
      <w:r w:rsidR="005D43FA">
        <w:t xml:space="preserve"> Testimise tulemusena </w:t>
      </w:r>
      <w:r w:rsidR="00B21DFE">
        <w:t xml:space="preserve">koostab Teenuse osutaja ja annab </w:t>
      </w:r>
      <w:r w:rsidR="004368AE">
        <w:t xml:space="preserve">Teenuse saajale </w:t>
      </w:r>
      <w:r w:rsidR="00B21DFE">
        <w:t>üle auditi</w:t>
      </w:r>
      <w:r w:rsidR="004368AE">
        <w:t xml:space="preserve">, </w:t>
      </w:r>
      <w:r w:rsidR="003E66B6">
        <w:t xml:space="preserve">mis koosneb </w:t>
      </w:r>
      <w:r w:rsidR="004158CF">
        <w:t xml:space="preserve">pakkumuse </w:t>
      </w:r>
      <w:r w:rsidR="003E66B6">
        <w:t xml:space="preserve">Lisa </w:t>
      </w:r>
      <w:r w:rsidR="004158CF">
        <w:t>2</w:t>
      </w:r>
      <w:r w:rsidR="003E66B6">
        <w:t xml:space="preserve"> näidisel </w:t>
      </w:r>
      <w:r w:rsidR="004158CF">
        <w:t>koostatud</w:t>
      </w:r>
      <w:r w:rsidR="003E66B6">
        <w:t xml:space="preserve"> 24</w:t>
      </w:r>
      <w:r w:rsidR="004368AE">
        <w:t xml:space="preserve"> hindamisvorm</w:t>
      </w:r>
      <w:r w:rsidR="003E66B6">
        <w:t>ist (16 hindamisvormi veebi</w:t>
      </w:r>
      <w:r w:rsidR="008A0B48">
        <w:t>domeenide</w:t>
      </w:r>
      <w:r w:rsidR="006E7563">
        <w:t xml:space="preserve"> ja 8 hindamisvormi </w:t>
      </w:r>
      <w:r w:rsidR="008A0B48">
        <w:t>mobiili</w:t>
      </w:r>
      <w:r w:rsidR="006E7563">
        <w:t>rakenduste kohta)</w:t>
      </w:r>
      <w:r w:rsidR="004368AE">
        <w:t>.</w:t>
      </w:r>
      <w:r w:rsidR="00B21DFE">
        <w:t xml:space="preserve"> </w:t>
      </w:r>
    </w:p>
    <w:p w14:paraId="13997929" w14:textId="745542FB" w:rsidR="00D5484D" w:rsidRDefault="00D5484D" w:rsidP="00C272AF">
      <w:pPr>
        <w:pStyle w:val="Loendilik"/>
        <w:numPr>
          <w:ilvl w:val="1"/>
          <w:numId w:val="4"/>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sidR="00051D4E">
        <w:rPr>
          <w:rFonts w:eastAsia="Calibri"/>
          <w:b/>
          <w:bCs/>
          <w:lang w:eastAsia="en-US"/>
        </w:rPr>
        <w:t>Teenus</w:t>
      </w:r>
      <w:r>
        <w:rPr>
          <w:rFonts w:eastAsia="Calibri"/>
          <w:b/>
          <w:bCs/>
          <w:lang w:eastAsia="en-US"/>
        </w:rPr>
        <w:t>“</w:t>
      </w:r>
      <w:r w:rsidRPr="00D5484D">
        <w:rPr>
          <w:rFonts w:eastAsia="Calibri"/>
          <w:lang w:eastAsia="en-US"/>
        </w:rPr>
        <w:t>) kuuluvad kõik p-s 1.1. nimetatud tegevused ja tööde tegemine või tegevused</w:t>
      </w:r>
      <w:r w:rsidR="00E17EA9">
        <w:rPr>
          <w:rFonts w:eastAsia="Calibri"/>
          <w:lang w:eastAsia="en-US"/>
        </w:rPr>
        <w:t>,</w:t>
      </w:r>
      <w:r w:rsidRPr="00D5484D">
        <w:rPr>
          <w:rFonts w:eastAsia="Calibri"/>
          <w:lang w:eastAsia="en-US"/>
        </w:rPr>
        <w:t xml:space="preserve"> mida ei ole eraldi nimetatud, kuid mis oma olemuselt kuuluvad </w:t>
      </w:r>
      <w:r w:rsidR="002F5832">
        <w:rPr>
          <w:rFonts w:eastAsia="Calibri"/>
          <w:lang w:eastAsia="en-US"/>
        </w:rPr>
        <w:t>Teenuse</w:t>
      </w:r>
      <w:r w:rsidRPr="00D5484D">
        <w:rPr>
          <w:rFonts w:eastAsia="Calibri"/>
          <w:lang w:eastAsia="en-US"/>
        </w:rPr>
        <w:t xml:space="preserve"> hulka ja on vajalikud lepinguliste kohustuste nõuetekohaseks täitmiseks. </w:t>
      </w:r>
    </w:p>
    <w:p w14:paraId="790390D9" w14:textId="57DE7926" w:rsidR="00854C9B" w:rsidRDefault="00C272AF" w:rsidP="00C272AF">
      <w:pPr>
        <w:pStyle w:val="Loendilik"/>
        <w:numPr>
          <w:ilvl w:val="1"/>
          <w:numId w:val="4"/>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39D1B976" w14:textId="61351389" w:rsidR="00C272AF" w:rsidRDefault="00C272AF" w:rsidP="00C272AF">
      <w:pPr>
        <w:pStyle w:val="Loendilik"/>
        <w:numPr>
          <w:ilvl w:val="2"/>
          <w:numId w:val="4"/>
        </w:numPr>
        <w:jc w:val="both"/>
      </w:pPr>
      <w:r>
        <w:t>Lepingu tekst</w:t>
      </w:r>
    </w:p>
    <w:p w14:paraId="28C6ACBE" w14:textId="3A216A77" w:rsidR="00854C9B" w:rsidRDefault="00854C9B" w:rsidP="00C272AF">
      <w:pPr>
        <w:pStyle w:val="Loendilik"/>
        <w:numPr>
          <w:ilvl w:val="2"/>
          <w:numId w:val="4"/>
        </w:numPr>
        <w:jc w:val="both"/>
      </w:pPr>
      <w:r>
        <w:t xml:space="preserve">Lisa 1 </w:t>
      </w:r>
      <w:r w:rsidR="008E7188">
        <w:t xml:space="preserve">- </w:t>
      </w:r>
      <w:r>
        <w:t xml:space="preserve">Teenuse saaja  </w:t>
      </w:r>
      <w:proofErr w:type="spellStart"/>
      <w:r w:rsidR="00D5484D">
        <w:t>pp.kk.aaaa</w:t>
      </w:r>
      <w:proofErr w:type="spellEnd"/>
      <w:r>
        <w:t xml:space="preserve"> pakkumuse esitamise kutse;</w:t>
      </w:r>
    </w:p>
    <w:p w14:paraId="0D221718" w14:textId="66DE8608" w:rsidR="00854C9B" w:rsidRDefault="00854C9B" w:rsidP="00C272AF">
      <w:pPr>
        <w:pStyle w:val="Loendilik"/>
        <w:numPr>
          <w:ilvl w:val="2"/>
          <w:numId w:val="4"/>
        </w:numPr>
        <w:jc w:val="both"/>
      </w:pPr>
      <w:r>
        <w:t xml:space="preserve">Lisa 2 </w:t>
      </w:r>
      <w:r w:rsidR="008E7188">
        <w:t xml:space="preserve">- </w:t>
      </w:r>
      <w:r>
        <w:t xml:space="preserve">Teenuse osutaja </w:t>
      </w:r>
      <w:proofErr w:type="spellStart"/>
      <w:r w:rsidR="00D5484D">
        <w:t>pp.kk.aaaa</w:t>
      </w:r>
      <w:proofErr w:type="spellEnd"/>
      <w:r>
        <w:t xml:space="preserve"> edastatud pakkumus nr </w:t>
      </w:r>
      <w:r w:rsidR="00D5484D">
        <w:t>…</w:t>
      </w:r>
      <w:r w:rsidR="00973D53">
        <w:t>.</w:t>
      </w:r>
    </w:p>
    <w:p w14:paraId="37EB7634" w14:textId="77777777" w:rsidR="00854C9B" w:rsidRDefault="00854C9B" w:rsidP="00854C9B">
      <w:pPr>
        <w:pStyle w:val="Loendilik"/>
        <w:jc w:val="both"/>
      </w:pPr>
    </w:p>
    <w:p w14:paraId="1D22DF9D" w14:textId="06C1499A" w:rsidR="00854C9B" w:rsidRPr="00104DF4" w:rsidRDefault="00854C9B" w:rsidP="00854C9B">
      <w:pPr>
        <w:pStyle w:val="Loendilik"/>
        <w:numPr>
          <w:ilvl w:val="0"/>
          <w:numId w:val="4"/>
        </w:numPr>
        <w:jc w:val="both"/>
        <w:rPr>
          <w:b/>
        </w:rPr>
      </w:pPr>
      <w:r w:rsidRPr="00104DF4">
        <w:rPr>
          <w:b/>
        </w:rPr>
        <w:t>T</w:t>
      </w:r>
      <w:r w:rsidR="00565917">
        <w:rPr>
          <w:b/>
        </w:rPr>
        <w:t>eenuse</w:t>
      </w:r>
      <w:r w:rsidRPr="00104DF4">
        <w:rPr>
          <w:b/>
        </w:rPr>
        <w:t xml:space="preserve"> osutamise kord ja </w:t>
      </w:r>
      <w:r w:rsidR="00565917">
        <w:rPr>
          <w:b/>
        </w:rPr>
        <w:t>tööplaan</w:t>
      </w:r>
    </w:p>
    <w:p w14:paraId="731D0C1D" w14:textId="78F649B5" w:rsidR="00854C9B" w:rsidRDefault="002F5832" w:rsidP="00854C9B">
      <w:pPr>
        <w:pStyle w:val="Loendilik"/>
        <w:numPr>
          <w:ilvl w:val="1"/>
          <w:numId w:val="4"/>
        </w:numPr>
        <w:jc w:val="both"/>
      </w:pPr>
      <w:r>
        <w:t>Teenuse</w:t>
      </w:r>
      <w:r w:rsidR="00854C9B">
        <w:t xml:space="preserve"> osutamine toimub </w:t>
      </w:r>
      <w:r>
        <w:t xml:space="preserve">Lisas 2 kirjeldatud tööplaani (edaspidi nimetatud </w:t>
      </w:r>
      <w:r w:rsidRPr="002F5832">
        <w:rPr>
          <w:b/>
          <w:bCs/>
        </w:rPr>
        <w:t>Tööplaan</w:t>
      </w:r>
      <w:r>
        <w:t>) kohaselt:</w:t>
      </w:r>
    </w:p>
    <w:p w14:paraId="27F9E5E8" w14:textId="6EB311B6" w:rsidR="00854C9B" w:rsidRDefault="002F5832" w:rsidP="00854C9B">
      <w:pPr>
        <w:pStyle w:val="Loendilik"/>
        <w:numPr>
          <w:ilvl w:val="2"/>
          <w:numId w:val="4"/>
        </w:numPr>
        <w:jc w:val="both"/>
      </w:pPr>
      <w:r>
        <w:t xml:space="preserve">Testimise periood </w:t>
      </w:r>
      <w:proofErr w:type="spellStart"/>
      <w:r>
        <w:t>pp.kk.aaaa</w:t>
      </w:r>
      <w:proofErr w:type="spellEnd"/>
      <w:r>
        <w:t xml:space="preserve"> – </w:t>
      </w:r>
      <w:proofErr w:type="spellStart"/>
      <w:r>
        <w:t>pp.kk.aaaa</w:t>
      </w:r>
      <w:proofErr w:type="spellEnd"/>
      <w:r w:rsidR="00854C9B">
        <w:t>;</w:t>
      </w:r>
      <w:bookmarkEnd w:id="0"/>
    </w:p>
    <w:p w14:paraId="4EA4A432" w14:textId="1A9AB65C" w:rsidR="00770842" w:rsidRDefault="002F5832" w:rsidP="00854C9B">
      <w:pPr>
        <w:pStyle w:val="Loendilik"/>
        <w:numPr>
          <w:ilvl w:val="2"/>
          <w:numId w:val="4"/>
        </w:numPr>
        <w:jc w:val="both"/>
      </w:pPr>
      <w:r>
        <w:t xml:space="preserve">Auditi ja hindamisvormi </w:t>
      </w:r>
      <w:r w:rsidR="003B0C93">
        <w:t xml:space="preserve">(edaspidi üheskoos nimetatud ka kui </w:t>
      </w:r>
      <w:r w:rsidR="003B0C93" w:rsidRPr="003B0C93">
        <w:rPr>
          <w:b/>
          <w:bCs/>
        </w:rPr>
        <w:t>Audit</w:t>
      </w:r>
      <w:r w:rsidR="003B0C93">
        <w:t xml:space="preserve">) </w:t>
      </w:r>
      <w:r>
        <w:t xml:space="preserve">üleandmine Teenuse saajale hiljemalt </w:t>
      </w:r>
      <w:r w:rsidR="00C91D02">
        <w:t>2</w:t>
      </w:r>
      <w:r>
        <w:t>0.09.202</w:t>
      </w:r>
      <w:r w:rsidR="004158CF">
        <w:t>4</w:t>
      </w:r>
      <w:r w:rsidR="00D17213">
        <w:t>.</w:t>
      </w:r>
    </w:p>
    <w:p w14:paraId="1D3BF9F1" w14:textId="03E3CB21" w:rsidR="00770842" w:rsidRDefault="002F5832" w:rsidP="00854C9B">
      <w:pPr>
        <w:pStyle w:val="Loendilik"/>
        <w:numPr>
          <w:ilvl w:val="1"/>
          <w:numId w:val="4"/>
        </w:numPr>
        <w:jc w:val="both"/>
      </w:pPr>
      <w:r>
        <w:t>Teenuse osutamisel</w:t>
      </w:r>
      <w:r w:rsidR="00770842">
        <w:t xml:space="preserve"> lähtub </w:t>
      </w:r>
      <w:r w:rsidR="000330B8">
        <w:t>Teenuse osutaja</w:t>
      </w:r>
      <w:r w:rsidR="00770842">
        <w:t xml:space="preserve"> eelkõige </w:t>
      </w:r>
      <w:r w:rsidR="000330B8">
        <w:t>Teenuse saaja</w:t>
      </w:r>
      <w:r w:rsidR="00770842">
        <w:t xml:space="preserve"> poolt edastatud informatsioonist</w:t>
      </w:r>
      <w:r w:rsidR="00D17213">
        <w:t xml:space="preserve"> ja Lisast 1.</w:t>
      </w:r>
    </w:p>
    <w:p w14:paraId="20F05BFC" w14:textId="1346A47D" w:rsidR="00A75F89" w:rsidRDefault="000330B8" w:rsidP="00854C9B">
      <w:pPr>
        <w:pStyle w:val="Loendilik"/>
        <w:numPr>
          <w:ilvl w:val="1"/>
          <w:numId w:val="4"/>
        </w:numPr>
        <w:jc w:val="both"/>
      </w:pPr>
      <w:r>
        <w:t>Teenuse osutaja</w:t>
      </w:r>
      <w:r w:rsidR="00770842">
        <w:t xml:space="preserve"> ei vastuta võimalike vigade või puuduste eest </w:t>
      </w:r>
      <w:r w:rsidR="000859C0">
        <w:t>Teenuse osutamisel</w:t>
      </w:r>
      <w:r w:rsidR="00770842">
        <w:t xml:space="preserve">, mis on põhjustatud </w:t>
      </w:r>
      <w:r>
        <w:t>Teenuse saaja</w:t>
      </w:r>
      <w:r w:rsidR="00770842">
        <w:t xml:space="preserve"> poolt esitatud väärast või puudulikust informatsioonist või mittekohasest dokumendist või muust </w:t>
      </w:r>
      <w:r>
        <w:t>Teenuse saaja</w:t>
      </w:r>
      <w:r w:rsidR="00770842">
        <w:t xml:space="preserve">st tulenevast asjaolust. </w:t>
      </w:r>
    </w:p>
    <w:p w14:paraId="7DC6A713" w14:textId="77777777" w:rsidR="00854C9B" w:rsidRDefault="00854C9B" w:rsidP="00854C9B">
      <w:pPr>
        <w:pStyle w:val="Loendilik"/>
        <w:ind w:left="585"/>
        <w:jc w:val="both"/>
      </w:pPr>
    </w:p>
    <w:p w14:paraId="2EFEE556" w14:textId="3F92F538" w:rsidR="00A75F89" w:rsidRPr="00104DF4" w:rsidRDefault="00A75F89" w:rsidP="00854C9B">
      <w:pPr>
        <w:pStyle w:val="Loendilik"/>
        <w:numPr>
          <w:ilvl w:val="0"/>
          <w:numId w:val="4"/>
        </w:numPr>
        <w:jc w:val="both"/>
        <w:rPr>
          <w:b/>
        </w:rPr>
      </w:pPr>
      <w:r w:rsidRPr="00104DF4">
        <w:rPr>
          <w:b/>
        </w:rPr>
        <w:t>Poolte kohustused ja vastutus</w:t>
      </w:r>
    </w:p>
    <w:p w14:paraId="3320CA88" w14:textId="72C9C58D" w:rsidR="00A75F89" w:rsidRPr="00C272AF" w:rsidRDefault="000330B8" w:rsidP="00A75F89">
      <w:pPr>
        <w:pStyle w:val="Loendilik"/>
        <w:numPr>
          <w:ilvl w:val="1"/>
          <w:numId w:val="4"/>
        </w:numPr>
        <w:jc w:val="both"/>
        <w:rPr>
          <w:b/>
          <w:bCs/>
        </w:rPr>
      </w:pPr>
      <w:r w:rsidRPr="00C272AF">
        <w:rPr>
          <w:b/>
          <w:bCs/>
        </w:rPr>
        <w:t>Teenuse osutaja</w:t>
      </w:r>
      <w:r w:rsidR="00A75F89" w:rsidRPr="00C272AF">
        <w:rPr>
          <w:b/>
          <w:bCs/>
        </w:rPr>
        <w:t xml:space="preserve"> kohustub:</w:t>
      </w:r>
    </w:p>
    <w:p w14:paraId="0C068113" w14:textId="235E405C" w:rsidR="00A75F89" w:rsidRDefault="000859C0" w:rsidP="00104DF4">
      <w:pPr>
        <w:pStyle w:val="Loendilik"/>
        <w:numPr>
          <w:ilvl w:val="2"/>
          <w:numId w:val="4"/>
        </w:numPr>
        <w:jc w:val="both"/>
      </w:pPr>
      <w:r>
        <w:t>osutama</w:t>
      </w:r>
      <w:r w:rsidR="00A75F89">
        <w:t xml:space="preserve"> Lepinguga kokkulepitud </w:t>
      </w:r>
      <w:r>
        <w:t>Teenust</w:t>
      </w:r>
      <w:r w:rsidR="002E5037">
        <w:t xml:space="preserve"> kvaliteetselt</w:t>
      </w:r>
      <w:r w:rsidR="00A75F89">
        <w:t xml:space="preserve">, rakendades oma erialaseid teadmisi ja kogemusi </w:t>
      </w:r>
      <w:r w:rsidR="000330B8">
        <w:t>Teenuse saaja</w:t>
      </w:r>
      <w:r w:rsidR="00A75F89">
        <w:t xml:space="preserve"> jaoks parimal võimalikul viisil</w:t>
      </w:r>
      <w:r w:rsidR="00C272AF">
        <w:t xml:space="preserve"> ning hoiduma toimingutest, mis võiks raskendada </w:t>
      </w:r>
      <w:r>
        <w:t>Teenuse osutamist</w:t>
      </w:r>
      <w:r w:rsidR="00A75F89">
        <w:t>;</w:t>
      </w:r>
    </w:p>
    <w:p w14:paraId="70927C2F" w14:textId="785F0E52" w:rsidR="00A75F89" w:rsidRDefault="00A75F89" w:rsidP="00104DF4">
      <w:pPr>
        <w:pStyle w:val="Loendilik"/>
        <w:numPr>
          <w:ilvl w:val="2"/>
          <w:numId w:val="4"/>
        </w:numPr>
        <w:jc w:val="both"/>
      </w:pPr>
      <w:r>
        <w:lastRenderedPageBreak/>
        <w:t xml:space="preserve">nõudma viivitamatult </w:t>
      </w:r>
      <w:r w:rsidR="000330B8">
        <w:t>Teenuse saaja</w:t>
      </w:r>
      <w:r>
        <w:t xml:space="preserve">lt uusi või täiendavaid juhiseid ja informatsiooni, kui </w:t>
      </w:r>
      <w:r w:rsidR="000859C0">
        <w:t>need</w:t>
      </w:r>
      <w:r>
        <w:t xml:space="preserve"> on vajalik</w:t>
      </w:r>
      <w:r w:rsidR="000859C0">
        <w:t>ud Teenuse osutamiseks</w:t>
      </w:r>
      <w:r>
        <w:t>;</w:t>
      </w:r>
    </w:p>
    <w:p w14:paraId="3EB2FF73" w14:textId="691D296E" w:rsidR="00A75F89" w:rsidRDefault="00A75F89" w:rsidP="00104DF4">
      <w:pPr>
        <w:pStyle w:val="Loendilik"/>
        <w:numPr>
          <w:ilvl w:val="2"/>
          <w:numId w:val="4"/>
        </w:numPr>
        <w:jc w:val="both"/>
      </w:pPr>
      <w:r>
        <w:t xml:space="preserve">informeerima </w:t>
      </w:r>
      <w:r w:rsidR="000330B8">
        <w:t>Teenuse saaja</w:t>
      </w:r>
      <w:r>
        <w:t xml:space="preserve">t </w:t>
      </w:r>
      <w:r w:rsidR="00491FBB">
        <w:t>viivimatult, kui ilmnevad asjaolud mis mõjutavad või või võivad mõjutada</w:t>
      </w:r>
      <w:r w:rsidR="00FF23D8">
        <w:t xml:space="preserve"> </w:t>
      </w:r>
      <w:r w:rsidR="000859C0">
        <w:t>Teenuse osutamis</w:t>
      </w:r>
      <w:r w:rsidR="00491FBB">
        <w:t>t</w:t>
      </w:r>
      <w:r>
        <w:t>;</w:t>
      </w:r>
    </w:p>
    <w:p w14:paraId="73FEB9AA" w14:textId="4973CE9F" w:rsidR="00A75F89" w:rsidRDefault="00A75F89" w:rsidP="00104DF4">
      <w:pPr>
        <w:pStyle w:val="Loendilik"/>
        <w:numPr>
          <w:ilvl w:val="2"/>
          <w:numId w:val="4"/>
        </w:numPr>
        <w:jc w:val="both"/>
      </w:pPr>
      <w:r>
        <w:t xml:space="preserve">vastutama asjaolude eest, mis tulenevad tema iseseisvast tegevusest </w:t>
      </w:r>
      <w:r w:rsidR="00C272AF">
        <w:t>ega</w:t>
      </w:r>
      <w:r>
        <w:t xml:space="preserve"> tulenenud </w:t>
      </w:r>
      <w:r w:rsidR="000330B8">
        <w:t>Teenuse saaja</w:t>
      </w:r>
      <w:r>
        <w:t xml:space="preserve"> juhistest ja antud informatsioonist. </w:t>
      </w:r>
      <w:r w:rsidR="000330B8">
        <w:t>Teenuse osutaja</w:t>
      </w:r>
      <w:r>
        <w:t xml:space="preserve"> vastutab võimalike vigade või puuduste eest </w:t>
      </w:r>
      <w:r w:rsidR="003C43DC">
        <w:t>Teenuse osutamisel</w:t>
      </w:r>
      <w:r>
        <w:t xml:space="preserve">, kui ta oleks kõiki asjaolusid arvestades mõistlikult tegutsedes pidanud nõudma </w:t>
      </w:r>
      <w:r w:rsidR="000330B8">
        <w:t>Teenuse saaja</w:t>
      </w:r>
      <w:r>
        <w:t xml:space="preserve"> juhiseid ja informatsiooni, kuid ei teinud seda;</w:t>
      </w:r>
    </w:p>
    <w:p w14:paraId="6EABE185" w14:textId="4E9EB623" w:rsidR="00C272AF" w:rsidRDefault="00A75F89" w:rsidP="00C272AF">
      <w:pPr>
        <w:pStyle w:val="Loendilik"/>
        <w:numPr>
          <w:ilvl w:val="2"/>
          <w:numId w:val="4"/>
        </w:numPr>
        <w:jc w:val="both"/>
      </w:pPr>
      <w:r>
        <w:t>kinni pidama punktis 2.1</w:t>
      </w:r>
      <w:r w:rsidR="001C0C92">
        <w:t>.</w:t>
      </w:r>
      <w:r>
        <w:t xml:space="preserve"> kokku lepitud </w:t>
      </w:r>
      <w:r w:rsidR="003C43DC">
        <w:t>Tööplaanist</w:t>
      </w:r>
      <w:r w:rsidR="00C272AF">
        <w:t>;</w:t>
      </w:r>
    </w:p>
    <w:p w14:paraId="5F1C60DB" w14:textId="43C84A0D" w:rsidR="00A75F89" w:rsidRPr="00C272AF" w:rsidRDefault="000330B8" w:rsidP="00104DF4">
      <w:pPr>
        <w:pStyle w:val="Loendilik"/>
        <w:numPr>
          <w:ilvl w:val="1"/>
          <w:numId w:val="4"/>
        </w:numPr>
        <w:jc w:val="both"/>
        <w:rPr>
          <w:b/>
          <w:bCs/>
        </w:rPr>
      </w:pPr>
      <w:r w:rsidRPr="00C272AF">
        <w:rPr>
          <w:b/>
          <w:bCs/>
        </w:rPr>
        <w:t>Teenuse osutaja</w:t>
      </w:r>
      <w:r w:rsidR="00C272AF">
        <w:rPr>
          <w:b/>
          <w:bCs/>
        </w:rPr>
        <w:t>l</w:t>
      </w:r>
      <w:r w:rsidR="00A75F89" w:rsidRPr="00C272AF">
        <w:rPr>
          <w:b/>
          <w:bCs/>
        </w:rPr>
        <w:t xml:space="preserve"> </w:t>
      </w:r>
      <w:r w:rsidR="00C272AF">
        <w:rPr>
          <w:b/>
          <w:bCs/>
        </w:rPr>
        <w:t xml:space="preserve">on </w:t>
      </w:r>
      <w:r w:rsidR="00A75F89" w:rsidRPr="00C272AF">
        <w:rPr>
          <w:b/>
          <w:bCs/>
        </w:rPr>
        <w:t>õigus:</w:t>
      </w:r>
    </w:p>
    <w:p w14:paraId="5004E906" w14:textId="0D28C6B2" w:rsidR="00C272AF" w:rsidRDefault="0044311B" w:rsidP="00C272AF">
      <w:pPr>
        <w:pStyle w:val="Loendilik"/>
        <w:numPr>
          <w:ilvl w:val="2"/>
          <w:numId w:val="4"/>
        </w:numPr>
        <w:jc w:val="both"/>
      </w:pPr>
      <w:r>
        <w:t xml:space="preserve">saada </w:t>
      </w:r>
      <w:r w:rsidR="000330B8">
        <w:t>Teenuse saaja</w:t>
      </w:r>
      <w:r>
        <w:t xml:space="preserve">lt </w:t>
      </w:r>
      <w:r w:rsidR="00565917">
        <w:t>Teenuse osutamiseks</w:t>
      </w:r>
      <w:r>
        <w:t xml:space="preserve"> vajalikke juhiseid;</w:t>
      </w:r>
    </w:p>
    <w:p w14:paraId="112D69D5" w14:textId="50BE8B7D" w:rsidR="00C272AF" w:rsidRDefault="00C272AF" w:rsidP="00C272AF">
      <w:pPr>
        <w:pStyle w:val="Loendilik"/>
        <w:numPr>
          <w:ilvl w:val="2"/>
          <w:numId w:val="4"/>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0D38220E" w14:textId="77777777" w:rsidR="00104DF4" w:rsidRDefault="00104DF4" w:rsidP="00104DF4">
      <w:pPr>
        <w:pStyle w:val="Loendilik"/>
        <w:jc w:val="both"/>
      </w:pPr>
    </w:p>
    <w:p w14:paraId="186B8F7C" w14:textId="030EE086" w:rsidR="00A75F89" w:rsidRPr="00C272AF" w:rsidRDefault="000330B8" w:rsidP="00C272AF">
      <w:pPr>
        <w:pStyle w:val="Loendilik"/>
        <w:numPr>
          <w:ilvl w:val="1"/>
          <w:numId w:val="4"/>
        </w:numPr>
        <w:jc w:val="both"/>
        <w:rPr>
          <w:b/>
          <w:bCs/>
        </w:rPr>
      </w:pPr>
      <w:r w:rsidRPr="00C272AF">
        <w:rPr>
          <w:b/>
          <w:bCs/>
        </w:rPr>
        <w:t>Teenuse saaja</w:t>
      </w:r>
      <w:r w:rsidR="00A75F89" w:rsidRPr="00C272AF">
        <w:rPr>
          <w:b/>
          <w:bCs/>
        </w:rPr>
        <w:t xml:space="preserve"> kohustub:</w:t>
      </w:r>
    </w:p>
    <w:p w14:paraId="541B0130" w14:textId="6CC8181E" w:rsidR="00104DF4" w:rsidRDefault="00A75F89" w:rsidP="00C272AF">
      <w:pPr>
        <w:pStyle w:val="Loendilik"/>
        <w:numPr>
          <w:ilvl w:val="2"/>
          <w:numId w:val="4"/>
        </w:numPr>
        <w:jc w:val="both"/>
      </w:pPr>
      <w:r>
        <w:t xml:space="preserve">edastama </w:t>
      </w:r>
      <w:r w:rsidR="000330B8">
        <w:t>Teenuse osutaja</w:t>
      </w:r>
      <w:r>
        <w:t>le õigeaegselt Lepingu täitmiseks olulise informatsiooni</w:t>
      </w:r>
      <w:r w:rsidR="001C0C92">
        <w:t>;</w:t>
      </w:r>
    </w:p>
    <w:p w14:paraId="1E37D7D6" w14:textId="22DC6284" w:rsidR="00F55E5A" w:rsidRDefault="00F55E5A" w:rsidP="00C272AF">
      <w:pPr>
        <w:pStyle w:val="Loendilik"/>
        <w:numPr>
          <w:ilvl w:val="2"/>
          <w:numId w:val="4"/>
        </w:numPr>
        <w:jc w:val="both"/>
      </w:pPr>
      <w:r w:rsidRPr="00F55E5A">
        <w:t>teavitama Teenuse osutajat koheselt, kui Teenuse saajal ei ole võimalik õigeaegselt Teenuse osutamisega seotud temale kuuluvat informatsiooni edastada. Vajadusel korrigeerivad Pooled kokkulepitud Tööplaani;</w:t>
      </w:r>
    </w:p>
    <w:p w14:paraId="22FBC2DD" w14:textId="5C1DB0A1" w:rsidR="00104DF4" w:rsidRDefault="00C272AF" w:rsidP="00104DF4">
      <w:pPr>
        <w:pStyle w:val="Loendilik"/>
        <w:numPr>
          <w:ilvl w:val="2"/>
          <w:numId w:val="4"/>
        </w:numPr>
        <w:jc w:val="both"/>
      </w:pPr>
      <w:r w:rsidRPr="00C272AF">
        <w:t xml:space="preserve">tagama </w:t>
      </w:r>
      <w:r>
        <w:t>Teenuse saajast</w:t>
      </w:r>
      <w:r w:rsidRPr="00C272AF">
        <w:t xml:space="preserve"> </w:t>
      </w:r>
      <w:r w:rsidRPr="00254090">
        <w:t xml:space="preserve">sõltuvate </w:t>
      </w:r>
      <w:r w:rsidR="00776F49" w:rsidRPr="00254090">
        <w:t>Teenuse osuta</w:t>
      </w:r>
      <w:r w:rsidR="00FC5A5F" w:rsidRPr="00254090">
        <w:t>m</w:t>
      </w:r>
      <w:r w:rsidR="00776F49" w:rsidRPr="00254090">
        <w:t>ise</w:t>
      </w:r>
      <w:r w:rsidRPr="00254090">
        <w:t xml:space="preserve"> käigus üleskerkivate küsimuste ja probleemide lahendamise 2 (kahe) tööpäeva jooksul arvates selle kohta kirjaliku teate saamisest. Juhul, kui üleskerkinud küsimust või probleemi ei ole põhjendatult või Teenuse saajast olenematutel asjaoludel</w:t>
      </w:r>
      <w:r w:rsidRPr="00C272AF">
        <w:t xml:space="preserve"> võimalik </w:t>
      </w:r>
      <w:proofErr w:type="spellStart"/>
      <w:r w:rsidRPr="00C272AF">
        <w:t>ülalmärgitud</w:t>
      </w:r>
      <w:proofErr w:type="spellEnd"/>
      <w:r w:rsidRPr="00C272AF">
        <w:t xml:space="preserve"> tähtaja jooksul lahendada, teatab </w:t>
      </w:r>
      <w:r>
        <w:t>Teenuse saaja</w:t>
      </w:r>
      <w:r w:rsidRPr="00C272AF">
        <w:t xml:space="preserve"> uue lahendamise tähtaja esimesel võimalusel </w:t>
      </w:r>
      <w:r>
        <w:t>Teenuse osutajale</w:t>
      </w:r>
      <w:r w:rsidRPr="00C272AF">
        <w:t>.</w:t>
      </w:r>
    </w:p>
    <w:p w14:paraId="1EF7D1C8" w14:textId="280A3167" w:rsidR="00A75F89" w:rsidRPr="00C272AF" w:rsidRDefault="000330B8" w:rsidP="00104DF4">
      <w:pPr>
        <w:pStyle w:val="Loendilik"/>
        <w:numPr>
          <w:ilvl w:val="1"/>
          <w:numId w:val="4"/>
        </w:numPr>
        <w:jc w:val="both"/>
        <w:rPr>
          <w:b/>
          <w:bCs/>
        </w:rPr>
      </w:pPr>
      <w:r w:rsidRPr="00C272AF">
        <w:rPr>
          <w:b/>
          <w:bCs/>
        </w:rPr>
        <w:t>Teenuse saaja</w:t>
      </w:r>
      <w:r w:rsidR="00C272AF">
        <w:rPr>
          <w:b/>
          <w:bCs/>
        </w:rPr>
        <w:t>l on</w:t>
      </w:r>
      <w:r w:rsidR="00A75F89" w:rsidRPr="00C272AF">
        <w:rPr>
          <w:b/>
          <w:bCs/>
        </w:rPr>
        <w:t xml:space="preserve"> õigus:</w:t>
      </w:r>
    </w:p>
    <w:p w14:paraId="27A74A4B" w14:textId="07654145" w:rsidR="00D3287C" w:rsidRDefault="007E19B3" w:rsidP="00407E5C">
      <w:pPr>
        <w:pStyle w:val="Loendilik"/>
        <w:numPr>
          <w:ilvl w:val="2"/>
          <w:numId w:val="4"/>
        </w:numPr>
        <w:jc w:val="both"/>
      </w:pPr>
      <w:r>
        <w:t xml:space="preserve">teostada kontrolli </w:t>
      </w:r>
      <w:r w:rsidR="00407E5C">
        <w:t>Teenuse osutamise</w:t>
      </w:r>
      <w:r>
        <w:t xml:space="preserve"> käigu, mahu ja kvaliteedi üle igal ajal Lepingu täitmise jooksul</w:t>
      </w:r>
      <w:r w:rsidR="00D3287C">
        <w:t>;</w:t>
      </w:r>
    </w:p>
    <w:p w14:paraId="3F476D22" w14:textId="0F7C0656" w:rsidR="00104DF4" w:rsidRDefault="00D3287C" w:rsidP="00407E5C">
      <w:pPr>
        <w:pStyle w:val="Loendilik"/>
        <w:numPr>
          <w:ilvl w:val="2"/>
          <w:numId w:val="4"/>
        </w:numPr>
        <w:jc w:val="both"/>
      </w:pPr>
      <w:r w:rsidRPr="00D3287C">
        <w:t>osaleda Teenuse osutamise protsessis oma ettepanekutega, esitades need Teenuse osutajale</w:t>
      </w:r>
      <w:r w:rsidR="007E19B3">
        <w:t>.</w:t>
      </w:r>
    </w:p>
    <w:p w14:paraId="7ABE50A9" w14:textId="77777777" w:rsidR="00104DF4" w:rsidRDefault="00104DF4" w:rsidP="008A7B85">
      <w:pPr>
        <w:pStyle w:val="Loendilik"/>
        <w:jc w:val="both"/>
      </w:pPr>
    </w:p>
    <w:p w14:paraId="52582179" w14:textId="011E227B" w:rsidR="00F341E1" w:rsidRDefault="008A7B85" w:rsidP="008A7B85">
      <w:pPr>
        <w:pStyle w:val="Loendilik"/>
        <w:numPr>
          <w:ilvl w:val="0"/>
          <w:numId w:val="4"/>
        </w:numPr>
        <w:jc w:val="both"/>
        <w:rPr>
          <w:b/>
        </w:rPr>
      </w:pPr>
      <w:r>
        <w:rPr>
          <w:b/>
        </w:rPr>
        <w:t>Auditi</w:t>
      </w:r>
      <w:r w:rsidR="00F341E1">
        <w:rPr>
          <w:b/>
        </w:rPr>
        <w:t xml:space="preserve"> üleandmine ja vastuvõtmine</w:t>
      </w:r>
    </w:p>
    <w:p w14:paraId="485F442D" w14:textId="1530742C" w:rsidR="009176CD" w:rsidRPr="009176CD" w:rsidRDefault="009176CD" w:rsidP="008A7B85">
      <w:pPr>
        <w:pStyle w:val="Loendilik"/>
        <w:numPr>
          <w:ilvl w:val="1"/>
          <w:numId w:val="4"/>
        </w:numPr>
        <w:jc w:val="both"/>
        <w:rPr>
          <w:bCs/>
        </w:rPr>
      </w:pPr>
      <w:r>
        <w:rPr>
          <w:bCs/>
        </w:rPr>
        <w:t xml:space="preserve">Teenuse osutaja kohustub Teenuse saajale </w:t>
      </w:r>
      <w:r w:rsidR="003B0C93">
        <w:rPr>
          <w:bCs/>
        </w:rPr>
        <w:t>Auditi</w:t>
      </w:r>
      <w:r>
        <w:rPr>
          <w:bCs/>
        </w:rPr>
        <w:t xml:space="preserve"> üle andma punktis 2.1.2 märgitud tähtajaks. </w:t>
      </w:r>
      <w:r w:rsidR="003B0C93">
        <w:rPr>
          <w:bCs/>
        </w:rPr>
        <w:t xml:space="preserve">Audit antakse </w:t>
      </w:r>
      <w:r w:rsidRPr="009176CD">
        <w:rPr>
          <w:bCs/>
        </w:rPr>
        <w:t xml:space="preserve">üle </w:t>
      </w:r>
      <w:r>
        <w:rPr>
          <w:bCs/>
        </w:rPr>
        <w:t>Teenuse osutaja</w:t>
      </w:r>
      <w:r w:rsidRPr="009176CD">
        <w:rPr>
          <w:bCs/>
        </w:rPr>
        <w:t xml:space="preserve"> poolt allkirjastatud üleandmise-vastuvõtmise aktiga. </w:t>
      </w:r>
    </w:p>
    <w:p w14:paraId="09C73F9A" w14:textId="26B5849B" w:rsidR="009176CD" w:rsidRPr="009176CD" w:rsidRDefault="003B0C93" w:rsidP="008A7B85">
      <w:pPr>
        <w:pStyle w:val="Loendilik"/>
        <w:numPr>
          <w:ilvl w:val="1"/>
          <w:numId w:val="4"/>
        </w:numPr>
        <w:jc w:val="both"/>
        <w:rPr>
          <w:bCs/>
        </w:rPr>
      </w:pPr>
      <w:r>
        <w:rPr>
          <w:bCs/>
        </w:rPr>
        <w:t>Teenuse saaja</w:t>
      </w:r>
      <w:r w:rsidR="009176CD" w:rsidRPr="009176CD">
        <w:rPr>
          <w:bCs/>
        </w:rPr>
        <w:t xml:space="preserve"> vaatab </w:t>
      </w:r>
      <w:r>
        <w:rPr>
          <w:bCs/>
        </w:rPr>
        <w:t>Teenuse osutaja</w:t>
      </w:r>
      <w:r w:rsidR="009176CD" w:rsidRPr="009176CD">
        <w:rPr>
          <w:bCs/>
        </w:rPr>
        <w:t xml:space="preserve"> poolt esitatud </w:t>
      </w:r>
      <w:r w:rsidRPr="00254090">
        <w:rPr>
          <w:bCs/>
        </w:rPr>
        <w:t>Auditi</w:t>
      </w:r>
      <w:r w:rsidR="009176CD" w:rsidRPr="00254090">
        <w:rPr>
          <w:bCs/>
        </w:rPr>
        <w:t xml:space="preserve"> üle </w:t>
      </w:r>
      <w:r w:rsidR="00FF23D8" w:rsidRPr="00254090">
        <w:rPr>
          <w:bCs/>
        </w:rPr>
        <w:t xml:space="preserve">10 </w:t>
      </w:r>
      <w:r w:rsidR="009176CD" w:rsidRPr="00254090">
        <w:rPr>
          <w:bCs/>
        </w:rPr>
        <w:t>(</w:t>
      </w:r>
      <w:r w:rsidR="00FF23D8" w:rsidRPr="00254090">
        <w:rPr>
          <w:bCs/>
        </w:rPr>
        <w:t>kümne</w:t>
      </w:r>
      <w:r w:rsidR="009176CD" w:rsidRPr="00254090">
        <w:rPr>
          <w:bCs/>
        </w:rPr>
        <w:t xml:space="preserve">) tööpäeva jooksul arvates </w:t>
      </w:r>
      <w:r w:rsidRPr="00254090">
        <w:rPr>
          <w:bCs/>
        </w:rPr>
        <w:t>Auditi</w:t>
      </w:r>
      <w:r w:rsidR="009176CD" w:rsidRPr="00254090">
        <w:rPr>
          <w:bCs/>
        </w:rPr>
        <w:t xml:space="preserve"> esitamisest </w:t>
      </w:r>
      <w:r w:rsidRPr="00254090">
        <w:rPr>
          <w:bCs/>
        </w:rPr>
        <w:t>Teenuse saajale</w:t>
      </w:r>
      <w:r w:rsidR="009176CD" w:rsidRPr="00254090">
        <w:rPr>
          <w:bCs/>
        </w:rPr>
        <w:t xml:space="preserve">. Kui </w:t>
      </w:r>
      <w:r w:rsidRPr="00254090">
        <w:rPr>
          <w:bCs/>
        </w:rPr>
        <w:t>Audit</w:t>
      </w:r>
      <w:r w:rsidR="009176CD" w:rsidRPr="00254090">
        <w:rPr>
          <w:bCs/>
        </w:rPr>
        <w:t xml:space="preserve"> vastab käesoleva Lepingu tingimustele, võtab </w:t>
      </w:r>
      <w:r w:rsidRPr="00254090">
        <w:rPr>
          <w:bCs/>
        </w:rPr>
        <w:t>Teenuse saaja Auditi</w:t>
      </w:r>
      <w:r w:rsidR="009176CD" w:rsidRPr="00254090">
        <w:rPr>
          <w:bCs/>
        </w:rPr>
        <w:t xml:space="preserve"> vastu, allkirjastab vastavasisulise üleandmis-vastuvõtmise akti ning </w:t>
      </w:r>
      <w:r w:rsidRPr="00254090">
        <w:rPr>
          <w:bCs/>
        </w:rPr>
        <w:t>edastab omalt poolt allkirjastatud akti Teenuse osutaja kontaktisikule</w:t>
      </w:r>
      <w:r w:rsidR="009176CD" w:rsidRPr="00254090">
        <w:rPr>
          <w:bCs/>
        </w:rPr>
        <w:t xml:space="preserve">. Juhul, kui </w:t>
      </w:r>
      <w:r w:rsidRPr="00254090">
        <w:rPr>
          <w:bCs/>
        </w:rPr>
        <w:t>Teenuse saaja</w:t>
      </w:r>
      <w:r w:rsidR="009176CD" w:rsidRPr="00254090">
        <w:rPr>
          <w:bCs/>
        </w:rPr>
        <w:t xml:space="preserve"> ei ole esitanud </w:t>
      </w:r>
      <w:r w:rsidRPr="00254090">
        <w:rPr>
          <w:bCs/>
        </w:rPr>
        <w:t>Teenuse osutajale</w:t>
      </w:r>
      <w:r w:rsidR="009176CD" w:rsidRPr="00254090">
        <w:rPr>
          <w:bCs/>
        </w:rPr>
        <w:t xml:space="preserve"> kirjalikke pretensioone </w:t>
      </w:r>
      <w:r w:rsidR="00FF23D8" w:rsidRPr="00254090">
        <w:rPr>
          <w:bCs/>
        </w:rPr>
        <w:t>10</w:t>
      </w:r>
      <w:r w:rsidR="009176CD" w:rsidRPr="00254090">
        <w:rPr>
          <w:bCs/>
        </w:rPr>
        <w:t xml:space="preserve"> (</w:t>
      </w:r>
      <w:r w:rsidR="00FF23D8" w:rsidRPr="00254090">
        <w:rPr>
          <w:bCs/>
        </w:rPr>
        <w:t>kümne</w:t>
      </w:r>
      <w:r w:rsidR="009176CD" w:rsidRPr="00254090">
        <w:rPr>
          <w:bCs/>
        </w:rPr>
        <w:t xml:space="preserve">) tööpäeva jooksul arvates </w:t>
      </w:r>
      <w:r w:rsidRPr="00254090">
        <w:rPr>
          <w:bCs/>
        </w:rPr>
        <w:t>Auditi</w:t>
      </w:r>
      <w:r w:rsidR="009176CD" w:rsidRPr="00254090">
        <w:rPr>
          <w:bCs/>
        </w:rPr>
        <w:t xml:space="preserve"> </w:t>
      </w:r>
      <w:r w:rsidRPr="00254090">
        <w:rPr>
          <w:bCs/>
        </w:rPr>
        <w:t>Teenuse saajale</w:t>
      </w:r>
      <w:r w:rsidR="009176CD" w:rsidRPr="00254090">
        <w:rPr>
          <w:bCs/>
        </w:rPr>
        <w:t xml:space="preserve"> esitamise päevast, on </w:t>
      </w:r>
      <w:r w:rsidRPr="00254090">
        <w:rPr>
          <w:bCs/>
        </w:rPr>
        <w:t>Teenuse osutaja</w:t>
      </w:r>
      <w:r w:rsidR="009176CD" w:rsidRPr="00254090">
        <w:rPr>
          <w:bCs/>
        </w:rPr>
        <w:t xml:space="preserve"> õigustatud lugema </w:t>
      </w:r>
      <w:r w:rsidRPr="00254090">
        <w:rPr>
          <w:bCs/>
        </w:rPr>
        <w:t>Auditi ja seeläbi Teenuse</w:t>
      </w:r>
      <w:r w:rsidR="009176CD" w:rsidRPr="009176CD">
        <w:rPr>
          <w:bCs/>
        </w:rPr>
        <w:t xml:space="preserve"> vastuvõetuks. </w:t>
      </w:r>
    </w:p>
    <w:p w14:paraId="3BDFB4D6" w14:textId="05889ADB" w:rsidR="009176CD" w:rsidRPr="009176CD" w:rsidRDefault="009176CD" w:rsidP="008A7B85">
      <w:pPr>
        <w:pStyle w:val="Loendilik"/>
        <w:numPr>
          <w:ilvl w:val="1"/>
          <w:numId w:val="4"/>
        </w:numPr>
        <w:jc w:val="both"/>
        <w:rPr>
          <w:bCs/>
        </w:rPr>
      </w:pPr>
      <w:r w:rsidRPr="009176CD">
        <w:rPr>
          <w:bCs/>
        </w:rPr>
        <w:t xml:space="preserve">Juhul, kui </w:t>
      </w:r>
      <w:r w:rsidR="00863361">
        <w:rPr>
          <w:bCs/>
        </w:rPr>
        <w:t>Teenuse saajal</w:t>
      </w:r>
      <w:r w:rsidRPr="009176CD">
        <w:rPr>
          <w:bCs/>
        </w:rPr>
        <w:t xml:space="preserve"> on pretensioone </w:t>
      </w:r>
      <w:r w:rsidR="00863361">
        <w:rPr>
          <w:bCs/>
        </w:rPr>
        <w:t>Auditi</w:t>
      </w:r>
      <w:r w:rsidRPr="009176CD">
        <w:rPr>
          <w:bCs/>
        </w:rPr>
        <w:t xml:space="preserve"> kvaliteedi või Lepingu tingimustele vastavuse osas, teavitab ta sellest </w:t>
      </w:r>
      <w:r w:rsidR="00863361">
        <w:rPr>
          <w:bCs/>
        </w:rPr>
        <w:t>Teenuse osutajat</w:t>
      </w:r>
      <w:r w:rsidRPr="009176CD">
        <w:rPr>
          <w:bCs/>
        </w:rPr>
        <w:t xml:space="preserve"> e-kirja teel ning osutab konkreetsele puudusele </w:t>
      </w:r>
      <w:r w:rsidR="00863361">
        <w:rPr>
          <w:bCs/>
        </w:rPr>
        <w:t>Auditis</w:t>
      </w:r>
      <w:r w:rsidRPr="009176CD">
        <w:rPr>
          <w:bCs/>
        </w:rPr>
        <w:t xml:space="preserve"> ja määrab mõistliku tähtaja puuduse kõrvaldamiseks või uue, Lepingu tingimustele vastava </w:t>
      </w:r>
      <w:r w:rsidR="00863361">
        <w:rPr>
          <w:bCs/>
        </w:rPr>
        <w:t>Auditi</w:t>
      </w:r>
      <w:r w:rsidRPr="009176CD">
        <w:rPr>
          <w:bCs/>
        </w:rPr>
        <w:t xml:space="preserve"> esitamiseks. Pärast puuduste ja vigade likvideerimist koostatakse üleandmise-vastuvõtmise akt Poolte vahel vastavalt punktile 4.2. </w:t>
      </w:r>
    </w:p>
    <w:p w14:paraId="102950EF" w14:textId="5AB0E577" w:rsidR="009176CD" w:rsidRPr="009176CD" w:rsidRDefault="009176CD" w:rsidP="008A7B85">
      <w:pPr>
        <w:pStyle w:val="Loendilik"/>
        <w:numPr>
          <w:ilvl w:val="1"/>
          <w:numId w:val="4"/>
        </w:numPr>
        <w:jc w:val="both"/>
        <w:rPr>
          <w:bCs/>
        </w:rPr>
      </w:pPr>
      <w:r w:rsidRPr="009176CD">
        <w:rPr>
          <w:bCs/>
        </w:rPr>
        <w:lastRenderedPageBreak/>
        <w:t xml:space="preserve">Poolte poolt allkirjastatud </w:t>
      </w:r>
      <w:r w:rsidR="00863361">
        <w:rPr>
          <w:bCs/>
        </w:rPr>
        <w:t>Auditi</w:t>
      </w:r>
      <w:r w:rsidRPr="009176CD">
        <w:rPr>
          <w:bCs/>
        </w:rPr>
        <w:t xml:space="preserve"> üleandmise-vastuvõtmise akt on aluseks </w:t>
      </w:r>
      <w:r w:rsidR="00863361">
        <w:rPr>
          <w:bCs/>
        </w:rPr>
        <w:t>Teenuse osutaja poolt Teenuse saajale</w:t>
      </w:r>
      <w:r w:rsidRPr="009176CD">
        <w:rPr>
          <w:bCs/>
        </w:rPr>
        <w:t xml:space="preserve"> arve esitamiseks. </w:t>
      </w:r>
    </w:p>
    <w:p w14:paraId="125E8642" w14:textId="77777777" w:rsidR="00F341E1" w:rsidRDefault="00F341E1" w:rsidP="008A7B85">
      <w:pPr>
        <w:pStyle w:val="Loendilik"/>
        <w:ind w:left="585"/>
        <w:jc w:val="both"/>
        <w:rPr>
          <w:b/>
        </w:rPr>
      </w:pPr>
    </w:p>
    <w:p w14:paraId="7E82B7EF" w14:textId="1F8F2A57" w:rsidR="00A75F89" w:rsidRPr="00104DF4" w:rsidRDefault="007E19B3" w:rsidP="008A7B85">
      <w:pPr>
        <w:pStyle w:val="Loendilik"/>
        <w:numPr>
          <w:ilvl w:val="0"/>
          <w:numId w:val="4"/>
        </w:numPr>
        <w:jc w:val="both"/>
        <w:rPr>
          <w:b/>
        </w:rPr>
      </w:pPr>
      <w:r>
        <w:rPr>
          <w:b/>
        </w:rPr>
        <w:t>Tasu</w:t>
      </w:r>
    </w:p>
    <w:p w14:paraId="1983DA9B" w14:textId="10403BD2" w:rsidR="00A75F89" w:rsidRDefault="000330B8" w:rsidP="00104DF4">
      <w:pPr>
        <w:pStyle w:val="Loendilik"/>
        <w:numPr>
          <w:ilvl w:val="1"/>
          <w:numId w:val="4"/>
        </w:numPr>
        <w:jc w:val="both"/>
      </w:pPr>
      <w:r>
        <w:t>Teenuse saaja</w:t>
      </w:r>
      <w:r w:rsidR="00A75F89">
        <w:t xml:space="preserve"> tasub </w:t>
      </w:r>
      <w:r>
        <w:t>Teenuse osutaja</w:t>
      </w:r>
      <w:r w:rsidR="00A75F89">
        <w:t xml:space="preserve">le </w:t>
      </w:r>
      <w:r w:rsidR="006C0AFF">
        <w:t>Teenuse</w:t>
      </w:r>
      <w:r w:rsidR="00CD6BB8">
        <w:t xml:space="preserve"> nõuetekohase</w:t>
      </w:r>
      <w:r w:rsidR="00A75F89">
        <w:t xml:space="preserve"> </w:t>
      </w:r>
      <w:r w:rsidR="006C0AFF">
        <w:t>osutamise</w:t>
      </w:r>
      <w:r w:rsidR="00A75F89">
        <w:t xml:space="preserve"> eest </w:t>
      </w:r>
      <w:r w:rsidR="007E19B3">
        <w:t>…</w:t>
      </w:r>
      <w:r w:rsidR="000C73DC">
        <w:t xml:space="preserve"> (</w:t>
      </w:r>
      <w:r w:rsidR="007E19B3">
        <w:t>…</w:t>
      </w:r>
      <w:r w:rsidR="000C73DC">
        <w:t xml:space="preserve">) eurot, millele lisandub </w:t>
      </w:r>
      <w:r w:rsidR="006C0AFF">
        <w:t xml:space="preserve">seaduses sätestatud määras </w:t>
      </w:r>
      <w:r w:rsidR="000C73DC">
        <w:t>käibemaks.</w:t>
      </w:r>
    </w:p>
    <w:p w14:paraId="5B95EA1A" w14:textId="3BF49988" w:rsidR="00104DF4" w:rsidRDefault="00104DF4" w:rsidP="007E19B3">
      <w:pPr>
        <w:pStyle w:val="Loendilik"/>
        <w:numPr>
          <w:ilvl w:val="1"/>
          <w:numId w:val="4"/>
        </w:numPr>
        <w:jc w:val="both"/>
      </w:pPr>
      <w:r>
        <w:t xml:space="preserve">Teenuse osutaja esitab pärast </w:t>
      </w:r>
      <w:r w:rsidR="006C0AFF">
        <w:t xml:space="preserve">Teenuse </w:t>
      </w:r>
      <w:r>
        <w:t xml:space="preserve">nõuetekohast </w:t>
      </w:r>
      <w:r w:rsidR="00CD6BB8">
        <w:t xml:space="preserve">osutamist </w:t>
      </w:r>
      <w:r>
        <w:t xml:space="preserve">Teenuse saajale </w:t>
      </w:r>
      <w:r w:rsidR="006C0AFF">
        <w:t>e-</w:t>
      </w:r>
      <w:r w:rsidR="007E19B3" w:rsidRPr="00BE0B8A">
        <w:rPr>
          <w:rFonts w:eastAsia="Calibri"/>
          <w:lang w:eastAsia="en-US"/>
        </w:rPr>
        <w:t>arve masintöödeldaval kujul vastavalt kehtivale e-arve standardile</w:t>
      </w:r>
      <w:r w:rsidR="007E19B3">
        <w:t>. Arvele märgitakse Lepingu number ja Teenuse saaja kontaktisik. Arve tasumise tähtaeg</w:t>
      </w:r>
      <w:r>
        <w:t xml:space="preserve"> on </w:t>
      </w:r>
      <w:r w:rsidR="007E19B3">
        <w:t>21</w:t>
      </w:r>
      <w:r>
        <w:t xml:space="preserve"> (</w:t>
      </w:r>
      <w:r w:rsidR="007E19B3">
        <w:t>kakskümmend üks</w:t>
      </w:r>
      <w:r>
        <w:t xml:space="preserve">) </w:t>
      </w:r>
      <w:r w:rsidR="007E19B3">
        <w:t>kalendri</w:t>
      </w:r>
      <w:r>
        <w:t>päeva.</w:t>
      </w:r>
    </w:p>
    <w:p w14:paraId="00078C7F" w14:textId="0ACF5E12" w:rsidR="007E19B3" w:rsidRPr="007E19B3" w:rsidRDefault="007E19B3" w:rsidP="007E19B3">
      <w:pPr>
        <w:pStyle w:val="Loendilik"/>
        <w:numPr>
          <w:ilvl w:val="1"/>
          <w:numId w:val="4"/>
        </w:numPr>
        <w:jc w:val="both"/>
      </w:pPr>
      <w:r w:rsidRPr="007E19B3">
        <w:t xml:space="preserve">Kõik </w:t>
      </w:r>
      <w:r>
        <w:t>Teenuse osutaja</w:t>
      </w:r>
      <w:r w:rsidRPr="007E19B3">
        <w:t xml:space="preserve"> kulud on kaetud </w:t>
      </w:r>
      <w:r w:rsidR="006C0AFF">
        <w:t>Teenuse osutamise</w:t>
      </w:r>
      <w:r w:rsidRPr="007E19B3">
        <w:t xml:space="preserve"> eest makstava </w:t>
      </w:r>
      <w:r>
        <w:t>t</w:t>
      </w:r>
      <w:r w:rsidRPr="007E19B3">
        <w:t xml:space="preserve">asuga. </w:t>
      </w:r>
      <w:r w:rsidR="00C455E3">
        <w:t>Teenuse saaja</w:t>
      </w:r>
      <w:r w:rsidRPr="007E19B3">
        <w:t xml:space="preserve"> ei aktsepteeri tagantjärgi lisakulutusi, mille osas Pooltel</w:t>
      </w:r>
      <w:r w:rsidR="006C0AFF">
        <w:t xml:space="preserve"> eelnev</w:t>
      </w:r>
      <w:r w:rsidRPr="007E19B3">
        <w:t xml:space="preserve"> kirjalik kokkulepe puudub. </w:t>
      </w:r>
    </w:p>
    <w:p w14:paraId="5D6F7DEB" w14:textId="77777777" w:rsidR="00104DF4" w:rsidRDefault="00104DF4" w:rsidP="003952DE">
      <w:pPr>
        <w:jc w:val="both"/>
      </w:pPr>
    </w:p>
    <w:p w14:paraId="3C944714" w14:textId="44BC2DAD" w:rsidR="00104DF4" w:rsidRPr="00104DF4" w:rsidRDefault="003952DE" w:rsidP="00104DF4">
      <w:pPr>
        <w:pStyle w:val="Loendilik"/>
        <w:numPr>
          <w:ilvl w:val="0"/>
          <w:numId w:val="4"/>
        </w:numPr>
        <w:jc w:val="both"/>
        <w:rPr>
          <w:b/>
        </w:rPr>
      </w:pPr>
      <w:r>
        <w:rPr>
          <w:b/>
        </w:rPr>
        <w:t>Kontaktisikud ja teabe vahetamise kord</w:t>
      </w:r>
    </w:p>
    <w:p w14:paraId="27CB6622" w14:textId="77586303" w:rsidR="00104DF4" w:rsidRDefault="00104DF4" w:rsidP="00104DF4">
      <w:pPr>
        <w:pStyle w:val="Loendilik"/>
        <w:numPr>
          <w:ilvl w:val="1"/>
          <w:numId w:val="4"/>
        </w:numPr>
        <w:jc w:val="both"/>
      </w:pPr>
      <w:r>
        <w:t xml:space="preserve">Teenuse saaja </w:t>
      </w:r>
      <w:r w:rsidR="003952DE">
        <w:t>kontaktisik</w:t>
      </w:r>
      <w:r>
        <w:t xml:space="preserve"> Lepingu täitmisel on </w:t>
      </w:r>
      <w:r w:rsidR="006C0AFF">
        <w:t>Helen Rohtla</w:t>
      </w:r>
      <w:r>
        <w:t xml:space="preserve">, </w:t>
      </w:r>
      <w:r w:rsidR="003952DE">
        <w:t>telefon</w:t>
      </w:r>
      <w:r w:rsidRPr="00254090">
        <w:t>:</w:t>
      </w:r>
      <w:r w:rsidR="00124EC4" w:rsidRPr="00254090">
        <w:t xml:space="preserve"> 620 1737</w:t>
      </w:r>
      <w:r w:rsidRPr="00254090">
        <w:t>, e-posti</w:t>
      </w:r>
      <w:r>
        <w:t xml:space="preserve"> aadress</w:t>
      </w:r>
      <w:r w:rsidR="006C0AFF">
        <w:t xml:space="preserve">: </w:t>
      </w:r>
      <w:hyperlink r:id="rId8" w:history="1">
        <w:r w:rsidR="006C0AFF" w:rsidRPr="00385F0F">
          <w:rPr>
            <w:rStyle w:val="Hperlink"/>
          </w:rPr>
          <w:t>Helen.Rohtla@ttja.ee</w:t>
        </w:r>
      </w:hyperlink>
      <w:r w:rsidR="000C73DC">
        <w:t>.</w:t>
      </w:r>
      <w:r w:rsidR="006C0AFF">
        <w:t xml:space="preserve"> </w:t>
      </w:r>
    </w:p>
    <w:p w14:paraId="0935114D" w14:textId="0B59B103" w:rsidR="00104DF4" w:rsidRDefault="00104DF4" w:rsidP="00104DF4">
      <w:pPr>
        <w:pStyle w:val="Loendilik"/>
        <w:numPr>
          <w:ilvl w:val="1"/>
          <w:numId w:val="4"/>
        </w:numPr>
        <w:jc w:val="both"/>
      </w:pPr>
      <w:r>
        <w:t xml:space="preserve">Teenuse osutaja </w:t>
      </w:r>
      <w:r w:rsidR="003952DE">
        <w:t>kontaktisik</w:t>
      </w:r>
      <w:r>
        <w:t xml:space="preserve"> Lepingu täitmisel on </w:t>
      </w:r>
      <w:r w:rsidR="003952DE">
        <w:t>…, telefon: … , e-posti aadress: …</w:t>
      </w:r>
    </w:p>
    <w:p w14:paraId="4A597DB2" w14:textId="4F59CACF" w:rsidR="00104DF4" w:rsidRDefault="00104DF4" w:rsidP="00104DF4">
      <w:pPr>
        <w:pStyle w:val="Loendilik"/>
        <w:numPr>
          <w:ilvl w:val="1"/>
          <w:numId w:val="4"/>
        </w:numPr>
        <w:jc w:val="both"/>
      </w:pPr>
      <w:r>
        <w:t xml:space="preserve">Punktides </w:t>
      </w:r>
      <w:r w:rsidR="00863361">
        <w:t>6</w:t>
      </w:r>
      <w:r>
        <w:t xml:space="preserve">.1 ja </w:t>
      </w:r>
      <w:r w:rsidR="00863361">
        <w:t>6</w:t>
      </w:r>
      <w:r>
        <w:t xml:space="preserve">.2 nimetatud Poolte esindajatel on Lepingu täitmise käigus õigus esitada vastastikku järelepärimisi, edastada Lepingu täitmisega seotud vajalikku informatsiooni ja dokumentatsiooni, kontrollida Lepingu täitmise käiku ja </w:t>
      </w:r>
      <w:r w:rsidR="00743F80">
        <w:t>Tööplaanist</w:t>
      </w:r>
      <w:r>
        <w:t xml:space="preserve"> kinnipidamist, küsida juhiseid, vastu võtta Lepingu täitmise käigus koostatavaid aruandeid, kokkuvõtteid ja muid kirjalikke dokumente, samuti teha muid Lepingus sätestamata toiminguid, mis on vajalikud Lepingu eesmärgi saavutamiseks.</w:t>
      </w:r>
    </w:p>
    <w:p w14:paraId="6B2F1912" w14:textId="142F3BF1" w:rsidR="00104DF4" w:rsidRDefault="00104DF4" w:rsidP="00104DF4">
      <w:pPr>
        <w:pStyle w:val="Loendilik"/>
        <w:numPr>
          <w:ilvl w:val="1"/>
          <w:numId w:val="4"/>
        </w:numPr>
        <w:jc w:val="both"/>
      </w:pPr>
      <w:r>
        <w:t xml:space="preserve">Punktides </w:t>
      </w:r>
      <w:r w:rsidR="00863361">
        <w:t>6</w:t>
      </w:r>
      <w:r>
        <w:t xml:space="preserve">.1 ja </w:t>
      </w:r>
      <w:r w:rsidR="00863361">
        <w:t>6</w:t>
      </w:r>
      <w:r>
        <w:t xml:space="preserve">.2 nimetatud Poolte </w:t>
      </w:r>
      <w:r w:rsidR="003952DE">
        <w:t>kontaktisikutel</w:t>
      </w:r>
      <w:r>
        <w:t xml:space="preserve"> ei ole õigust Lepingu muutmiseks, v</w:t>
      </w:r>
      <w:r w:rsidR="003952DE">
        <w:t>.</w:t>
      </w:r>
      <w:r>
        <w:t>a</w:t>
      </w:r>
      <w:r w:rsidR="003952DE">
        <w:t>.</w:t>
      </w:r>
      <w:r>
        <w:t xml:space="preserve"> juhul, kui Pool on andnud oma </w:t>
      </w:r>
      <w:r w:rsidR="003952DE">
        <w:t>kontaktisikule</w:t>
      </w:r>
      <w:r>
        <w:t xml:space="preserve"> eraldi sellekohase volikirja.</w:t>
      </w:r>
    </w:p>
    <w:p w14:paraId="2A250B08"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Pool kohustub teist Poolt teavitama kõikidest asjaoludest, mis võivad mõjutada või takistada Lepingus sätestatud kohustuste täitmist või õiguste realiseerimist.</w:t>
      </w:r>
    </w:p>
    <w:p w14:paraId="6A24F15E"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Kõik teated/avaldused, millega kaasneb õiguslik tagajärg Pool(t)</w:t>
      </w:r>
      <w:proofErr w:type="spellStart"/>
      <w:r w:rsidRPr="003952DE">
        <w:rPr>
          <w:rFonts w:eastAsia="Calibri"/>
          <w:lang w:eastAsia="en-US"/>
        </w:rPr>
        <w:t>ele</w:t>
      </w:r>
      <w:proofErr w:type="spellEnd"/>
      <w:r w:rsidRPr="003952DE">
        <w:rPr>
          <w:rFonts w:eastAsia="Calibri"/>
          <w:lang w:eastAsia="en-US"/>
        </w:rPr>
        <w:t xml:space="preserve">, esitatakse teisele Poolele e-posti teel Poole seadusjärgse esindaja poolt digitaalselt allkirjastatuna. </w:t>
      </w:r>
    </w:p>
    <w:p w14:paraId="264C9D95" w14:textId="77777777" w:rsidR="003952DE" w:rsidRPr="003952DE" w:rsidRDefault="003952DE" w:rsidP="003952DE">
      <w:pPr>
        <w:numPr>
          <w:ilvl w:val="1"/>
          <w:numId w:val="4"/>
        </w:numPr>
        <w:suppressAutoHyphens w:val="0"/>
        <w:contextualSpacing/>
        <w:jc w:val="both"/>
        <w:rPr>
          <w:rFonts w:eastAsia="Calibri"/>
          <w:lang w:eastAsia="en-US"/>
        </w:rPr>
      </w:pPr>
      <w:r w:rsidRPr="003952DE">
        <w:rPr>
          <w:rFonts w:eastAsia="Calibri"/>
          <w:lang w:eastAsia="en-US"/>
        </w:rPr>
        <w:t>Informatiivse sisuga teated edastatakse telefoni või e-kirja teel.</w:t>
      </w:r>
    </w:p>
    <w:p w14:paraId="64462F53" w14:textId="640CA437" w:rsidR="003952DE" w:rsidRPr="003952DE" w:rsidRDefault="003952DE" w:rsidP="003952DE">
      <w:pPr>
        <w:pStyle w:val="Loendilik"/>
        <w:widowControl w:val="0"/>
        <w:numPr>
          <w:ilvl w:val="1"/>
          <w:numId w:val="4"/>
        </w:numPr>
        <w:jc w:val="both"/>
        <w:rPr>
          <w:noProof/>
        </w:rPr>
      </w:pPr>
      <w:r w:rsidRPr="003952DE">
        <w:rPr>
          <w:noProof/>
        </w:rPr>
        <w:t>Poole teade loetakse teise Poole poolt</w:t>
      </w:r>
      <w:r w:rsidR="008B515D">
        <w:rPr>
          <w:noProof/>
        </w:rPr>
        <w:t xml:space="preserve"> kätte saaduks</w:t>
      </w:r>
      <w:r w:rsidRPr="003952DE">
        <w:rPr>
          <w:noProof/>
        </w:rPr>
        <w:t>:</w:t>
      </w:r>
    </w:p>
    <w:p w14:paraId="739266F4" w14:textId="5404C119" w:rsidR="003952DE" w:rsidRPr="00C11537" w:rsidRDefault="003952DE" w:rsidP="003952DE">
      <w:pPr>
        <w:pStyle w:val="Loendilik"/>
        <w:widowControl w:val="0"/>
        <w:numPr>
          <w:ilvl w:val="2"/>
          <w:numId w:val="4"/>
        </w:numPr>
        <w:jc w:val="both"/>
        <w:rPr>
          <w:noProof/>
        </w:rPr>
      </w:pPr>
      <w:r w:rsidRPr="00C11537">
        <w:rPr>
          <w:noProof/>
        </w:rPr>
        <w:t>samal päeval, kui teade on saadetud elektroonilisel teel kontaktisiku e-posti aadressile tööpäeval enne kella 16.00;</w:t>
      </w:r>
    </w:p>
    <w:p w14:paraId="52849CBE" w14:textId="77777777" w:rsidR="003952DE" w:rsidRPr="00541DC8" w:rsidRDefault="003952DE" w:rsidP="003952DE">
      <w:pPr>
        <w:pStyle w:val="Loendilik"/>
        <w:widowControl w:val="0"/>
        <w:numPr>
          <w:ilvl w:val="2"/>
          <w:numId w:val="4"/>
        </w:numPr>
        <w:jc w:val="both"/>
        <w:rPr>
          <w:noProof/>
        </w:rPr>
      </w:pPr>
      <w:r w:rsidRPr="00C11537">
        <w:rPr>
          <w:noProof/>
        </w:rPr>
        <w:t>järgmisel tööpäeval, kui teade on saadetud elektroonilisel teel kontaktisiku e-posti aadressile tööpäeval pärast kella 16.00</w:t>
      </w:r>
      <w:r>
        <w:rPr>
          <w:noProof/>
        </w:rPr>
        <w:t>.</w:t>
      </w:r>
      <w:r w:rsidRPr="00C11537">
        <w:rPr>
          <w:noProof/>
        </w:rPr>
        <w:t xml:space="preserve"> </w:t>
      </w:r>
    </w:p>
    <w:p w14:paraId="36EF972F" w14:textId="77777777" w:rsidR="00104DF4" w:rsidRPr="00104DF4" w:rsidRDefault="00104DF4" w:rsidP="003952DE">
      <w:pPr>
        <w:jc w:val="both"/>
      </w:pPr>
    </w:p>
    <w:p w14:paraId="02F2AB1D" w14:textId="170A48CE" w:rsidR="00A75F89" w:rsidRPr="00104DF4" w:rsidRDefault="00104DF4" w:rsidP="00B837AB">
      <w:pPr>
        <w:pStyle w:val="Loendilik"/>
        <w:numPr>
          <w:ilvl w:val="0"/>
          <w:numId w:val="4"/>
        </w:numPr>
        <w:jc w:val="both"/>
        <w:rPr>
          <w:b/>
          <w:bCs/>
        </w:rPr>
      </w:pPr>
      <w:r w:rsidRPr="00104DF4">
        <w:rPr>
          <w:b/>
          <w:bCs/>
        </w:rPr>
        <w:t>Konfidentsiaalsuskohustus</w:t>
      </w:r>
      <w:r w:rsidR="00145049">
        <w:rPr>
          <w:b/>
          <w:bCs/>
        </w:rPr>
        <w:t xml:space="preserve"> ja isikuandmete kaitse</w:t>
      </w:r>
    </w:p>
    <w:p w14:paraId="329B235F" w14:textId="00BF45EC" w:rsidR="00A75F89" w:rsidRPr="00104DF4" w:rsidRDefault="00A75F89" w:rsidP="003952DE">
      <w:pPr>
        <w:pStyle w:val="Loendilik"/>
        <w:numPr>
          <w:ilvl w:val="1"/>
          <w:numId w:val="4"/>
        </w:numPr>
        <w:jc w:val="both"/>
        <w:rPr>
          <w:bCs/>
        </w:rPr>
      </w:pPr>
      <w:r>
        <w:t>Pool</w:t>
      </w:r>
      <w:r w:rsidR="006707C2">
        <w:t>ed on</w:t>
      </w:r>
      <w:r>
        <w:t xml:space="preserve"> kohust</w:t>
      </w:r>
      <w:r w:rsidR="006707C2">
        <w:t xml:space="preserve">atud Lepingu kehtivuse ajal ning tähtajatult pärast Lepingu lõppemist </w:t>
      </w:r>
      <w:r>
        <w:t xml:space="preserve"> mitte </w:t>
      </w:r>
      <w:r w:rsidR="006707C2">
        <w:t xml:space="preserve">avaldama üksteist puudutavad konfidentsiaalset infot. </w:t>
      </w:r>
      <w:r w:rsidR="006707C2"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rsidR="003952DE">
        <w:t>Kahtluse korral eeldatakse informatsiooni konfidentsiaalsust.</w:t>
      </w:r>
    </w:p>
    <w:p w14:paraId="67572A75" w14:textId="7E199A68" w:rsidR="003952DE" w:rsidRPr="003952DE" w:rsidRDefault="006707C2" w:rsidP="003952DE">
      <w:pPr>
        <w:pStyle w:val="Loendilik"/>
        <w:numPr>
          <w:ilvl w:val="1"/>
          <w:numId w:val="4"/>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74595C5" w14:textId="551C989A" w:rsidR="003952DE" w:rsidRPr="003952DE" w:rsidRDefault="003952DE" w:rsidP="003952DE">
      <w:pPr>
        <w:pStyle w:val="Loendilik"/>
        <w:numPr>
          <w:ilvl w:val="1"/>
          <w:numId w:val="4"/>
        </w:numPr>
        <w:jc w:val="both"/>
        <w:rPr>
          <w:bCs/>
        </w:rPr>
      </w:pPr>
      <w:r w:rsidRPr="003952DE">
        <w:rPr>
          <w:bCs/>
        </w:rPr>
        <w:t xml:space="preserve">Teenuse osutaja kohustub tagama, et isikud, keda ta </w:t>
      </w:r>
      <w:r w:rsidR="00743F80">
        <w:rPr>
          <w:bCs/>
        </w:rPr>
        <w:t>Teenuse osutamisel</w:t>
      </w:r>
      <w:r w:rsidRPr="003952DE">
        <w:rPr>
          <w:bCs/>
        </w:rPr>
        <w:t xml:space="preserve"> kasutab, on teadlikud Lepingus sätestatud konfidentsiaalsuskohustusest ning nõuab nimetatud </w:t>
      </w:r>
      <w:r w:rsidRPr="003952DE">
        <w:rPr>
          <w:bCs/>
        </w:rPr>
        <w:lastRenderedPageBreak/>
        <w:t>isikutelt selle kohustuse tingimusteta ja tähtajatut täitmist. Vastutus konfidentsiaalsuskohustuste täitmise eest nimetatud isikute poolt lasub Teenuse osutajal.</w:t>
      </w:r>
    </w:p>
    <w:p w14:paraId="19881CF2" w14:textId="77777777" w:rsidR="003952DE" w:rsidRPr="003952DE" w:rsidRDefault="003952DE" w:rsidP="003952DE">
      <w:pPr>
        <w:numPr>
          <w:ilvl w:val="1"/>
          <w:numId w:val="4"/>
        </w:numPr>
        <w:suppressAutoHyphens w:val="0"/>
        <w:spacing w:after="160"/>
        <w:contextualSpacing/>
        <w:jc w:val="both"/>
        <w:rPr>
          <w:rFonts w:eastAsia="Calibri"/>
          <w:bCs/>
          <w:lang w:eastAsia="en-US"/>
        </w:rPr>
      </w:pPr>
      <w:r w:rsidRPr="003952DE">
        <w:rPr>
          <w:rFonts w:eastAsia="Calibri"/>
          <w:bCs/>
          <w:lang w:eastAsia="en-US"/>
        </w:rPr>
        <w:t xml:space="preserve">Pooled toimivad isikuandmete käsitlemisel vastavalt isikuandmete kaitse </w:t>
      </w:r>
      <w:proofErr w:type="spellStart"/>
      <w:r w:rsidRPr="003952DE">
        <w:rPr>
          <w:rFonts w:eastAsia="Calibri"/>
          <w:bCs/>
          <w:lang w:eastAsia="en-US"/>
        </w:rPr>
        <w:t>üldmäärusele</w:t>
      </w:r>
      <w:proofErr w:type="spellEnd"/>
      <w:r w:rsidRPr="003952DE">
        <w:rPr>
          <w:rFonts w:eastAsia="Calibri"/>
          <w:bCs/>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3952DE">
        <w:rPr>
          <w:rFonts w:eastAsia="Calibri"/>
          <w:bCs/>
          <w:lang w:eastAsia="en-US"/>
        </w:rPr>
        <w:t>üldmääruse</w:t>
      </w:r>
      <w:proofErr w:type="spellEnd"/>
      <w:r w:rsidRPr="003952DE">
        <w:rPr>
          <w:rFonts w:eastAsia="Calibri"/>
          <w:bCs/>
          <w:lang w:eastAsia="en-US"/>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066E3A94" w14:textId="77777777" w:rsidR="00104DF4" w:rsidRPr="00863361" w:rsidRDefault="00104DF4" w:rsidP="00863361">
      <w:pPr>
        <w:jc w:val="both"/>
        <w:rPr>
          <w:bCs/>
        </w:rPr>
      </w:pPr>
    </w:p>
    <w:p w14:paraId="2CFC0EA1" w14:textId="42C5842D" w:rsidR="006707C2" w:rsidRPr="003952DE" w:rsidRDefault="006707C2" w:rsidP="00104DF4">
      <w:pPr>
        <w:pStyle w:val="Loendilik"/>
        <w:numPr>
          <w:ilvl w:val="0"/>
          <w:numId w:val="4"/>
        </w:numPr>
        <w:jc w:val="both"/>
        <w:rPr>
          <w:b/>
        </w:rPr>
      </w:pPr>
      <w:r w:rsidRPr="003952DE">
        <w:rPr>
          <w:b/>
        </w:rPr>
        <w:t>Intellektuaalne omand</w:t>
      </w:r>
    </w:p>
    <w:p w14:paraId="7951224C" w14:textId="5A4B4F19" w:rsidR="003952DE" w:rsidRPr="00C40475" w:rsidRDefault="003952DE" w:rsidP="003952DE">
      <w:pPr>
        <w:numPr>
          <w:ilvl w:val="1"/>
          <w:numId w:val="4"/>
        </w:numPr>
        <w:suppressAutoHyphens w:val="0"/>
        <w:spacing w:after="160"/>
        <w:contextualSpacing/>
        <w:jc w:val="both"/>
        <w:rPr>
          <w:rFonts w:eastAsia="Calibri"/>
          <w:lang w:eastAsia="en-US"/>
        </w:rPr>
      </w:pPr>
      <w:r>
        <w:rPr>
          <w:rFonts w:eastAsia="Calibri"/>
          <w:lang w:eastAsia="en-US"/>
        </w:rPr>
        <w:t>Teenuse osutaja</w:t>
      </w:r>
      <w:r w:rsidRPr="00C40475">
        <w:rPr>
          <w:rFonts w:eastAsia="Calibri"/>
          <w:lang w:eastAsia="en-US"/>
        </w:rPr>
        <w:t xml:space="preserve"> poolt </w:t>
      </w:r>
      <w:r w:rsidR="00743F80">
        <w:rPr>
          <w:rFonts w:eastAsia="Calibri"/>
          <w:lang w:eastAsia="en-US"/>
        </w:rPr>
        <w:t>Teenuse osutamise</w:t>
      </w:r>
      <w:r w:rsidRPr="00C40475">
        <w:rPr>
          <w:rFonts w:eastAsia="Calibri"/>
          <w:lang w:eastAsia="en-US"/>
        </w:rPr>
        <w:t xml:space="preserve"> käigus loodud intellektuaalne omand, kaasa arvatud sellega seotud dokumentatsioon, kuulub </w:t>
      </w:r>
      <w:r>
        <w:rPr>
          <w:rFonts w:eastAsia="Calibri"/>
          <w:lang w:eastAsia="en-US"/>
        </w:rPr>
        <w:t>Teenuse saajale</w:t>
      </w:r>
      <w:r w:rsidRPr="00C40475">
        <w:rPr>
          <w:rFonts w:eastAsia="Calibri"/>
          <w:lang w:eastAsia="en-US"/>
        </w:rPr>
        <w:t>. Intellektuaalse omandi õigused on kõik Lepingust tulenevate kohustu</w:t>
      </w:r>
      <w:r>
        <w:rPr>
          <w:rFonts w:eastAsia="Calibri"/>
          <w:lang w:eastAsia="en-US"/>
        </w:rPr>
        <w:t>s</w:t>
      </w:r>
      <w:r w:rsidRPr="00C40475">
        <w:rPr>
          <w:rFonts w:eastAsia="Calibri"/>
          <w:lang w:eastAsia="en-US"/>
        </w:rPr>
        <w:t>te täitmisel tekkinud autoriõigused ja kaasnevad õigused.</w:t>
      </w:r>
    </w:p>
    <w:p w14:paraId="389DB6B2" w14:textId="7B0429EE" w:rsidR="003952DE" w:rsidRDefault="00272001" w:rsidP="003952DE">
      <w:pPr>
        <w:numPr>
          <w:ilvl w:val="1"/>
          <w:numId w:val="4"/>
        </w:numPr>
        <w:suppressAutoHyphens w:val="0"/>
        <w:spacing w:after="160"/>
        <w:contextualSpacing/>
        <w:jc w:val="both"/>
        <w:rPr>
          <w:rFonts w:eastAsia="Calibri"/>
          <w:lang w:eastAsia="en-US"/>
        </w:rPr>
      </w:pPr>
      <w:r>
        <w:rPr>
          <w:rFonts w:eastAsia="Calibri"/>
          <w:lang w:eastAsia="en-US"/>
        </w:rPr>
        <w:t>Teenuse osutamise</w:t>
      </w:r>
      <w:r w:rsidR="003952DE">
        <w:rPr>
          <w:rFonts w:eastAsia="Calibri"/>
          <w:lang w:eastAsia="en-US"/>
        </w:rPr>
        <w:t xml:space="preserve"> tulemusena loodu autori isiklike autoriõiguste kasutamiseks annab Teenuse osutaja Teenuse saajale ainulitsentsi all-litsentsi andmise õigusega alates vastavate autoriõiguste tekkimise hetkest kogu autoriõiguste kehtimise ajaks.  </w:t>
      </w:r>
    </w:p>
    <w:p w14:paraId="15769286" w14:textId="56D605D0" w:rsidR="003952DE" w:rsidRPr="006012F2" w:rsidRDefault="003952DE" w:rsidP="003952DE">
      <w:pPr>
        <w:numPr>
          <w:ilvl w:val="1"/>
          <w:numId w:val="4"/>
        </w:numPr>
        <w:suppressAutoHyphens w:val="0"/>
        <w:spacing w:after="160"/>
        <w:contextualSpacing/>
        <w:jc w:val="both"/>
        <w:rPr>
          <w:rFonts w:eastAsia="Calibri"/>
          <w:lang w:eastAsia="en-US"/>
        </w:rPr>
      </w:pPr>
      <w:r>
        <w:rPr>
          <w:rFonts w:eastAsia="Calibri"/>
          <w:lang w:eastAsia="en-US"/>
        </w:rPr>
        <w:t>Teenuse osutaja</w:t>
      </w:r>
      <w:r w:rsidRPr="006012F2">
        <w:rPr>
          <w:rFonts w:eastAsia="Calibri"/>
          <w:lang w:eastAsia="en-US"/>
        </w:rPr>
        <w:t xml:space="preserve"> kinnitab, et temale teada olevalt tema poolt loodav ei riku ühegi kolmanda isiku õigusi.</w:t>
      </w:r>
    </w:p>
    <w:p w14:paraId="00DFD994" w14:textId="0B0DEA54" w:rsidR="003952DE" w:rsidRDefault="003952DE" w:rsidP="003952DE">
      <w:pPr>
        <w:numPr>
          <w:ilvl w:val="1"/>
          <w:numId w:val="4"/>
        </w:numPr>
        <w:suppressAutoHyphens w:val="0"/>
        <w:spacing w:after="160"/>
        <w:contextualSpacing/>
        <w:jc w:val="both"/>
        <w:rPr>
          <w:rFonts w:eastAsia="Calibri"/>
          <w:lang w:eastAsia="en-US"/>
        </w:rPr>
      </w:pPr>
      <w:r w:rsidRPr="00C40475">
        <w:rPr>
          <w:rFonts w:eastAsia="Calibri"/>
          <w:lang w:eastAsia="en-US"/>
        </w:rPr>
        <w:t xml:space="preserve">Tasu õiguste </w:t>
      </w:r>
      <w:r>
        <w:rPr>
          <w:rFonts w:eastAsia="Calibri"/>
          <w:lang w:eastAsia="en-US"/>
        </w:rPr>
        <w:t>Teenuse saajale</w:t>
      </w:r>
      <w:r w:rsidRPr="00C40475">
        <w:rPr>
          <w:rFonts w:eastAsia="Calibri"/>
          <w:lang w:eastAsia="en-US"/>
        </w:rPr>
        <w:t xml:space="preserve"> andmise eest (sh autoritasu) on arvestatud Lepingu alusel makstava </w:t>
      </w:r>
      <w:r>
        <w:rPr>
          <w:rFonts w:eastAsia="Calibri"/>
          <w:lang w:eastAsia="en-US"/>
        </w:rPr>
        <w:t>t</w:t>
      </w:r>
      <w:r w:rsidRPr="00C40475">
        <w:rPr>
          <w:rFonts w:eastAsia="Calibri"/>
          <w:lang w:eastAsia="en-US"/>
        </w:rPr>
        <w:t xml:space="preserve">asu hulka. </w:t>
      </w:r>
      <w:r>
        <w:rPr>
          <w:rFonts w:eastAsia="Calibri"/>
          <w:lang w:eastAsia="en-US"/>
        </w:rPr>
        <w:t>Teenuse osutajal</w:t>
      </w:r>
      <w:r w:rsidRPr="00C40475">
        <w:rPr>
          <w:rFonts w:eastAsia="Calibri"/>
          <w:lang w:eastAsia="en-US"/>
        </w:rPr>
        <w:t xml:space="preserve"> puudub õigus täiendavate tasude ja maksete nõudmiseks.</w:t>
      </w:r>
    </w:p>
    <w:p w14:paraId="2FE35AFA" w14:textId="77777777" w:rsidR="003952DE" w:rsidRDefault="003952DE" w:rsidP="003952DE">
      <w:pPr>
        <w:suppressAutoHyphens w:val="0"/>
        <w:spacing w:after="160"/>
        <w:ind w:left="585"/>
        <w:contextualSpacing/>
        <w:jc w:val="both"/>
        <w:rPr>
          <w:rFonts w:eastAsia="Calibri"/>
          <w:lang w:eastAsia="en-US"/>
        </w:rPr>
      </w:pPr>
    </w:p>
    <w:p w14:paraId="26450833" w14:textId="11F2D2D1" w:rsidR="003952DE" w:rsidRPr="003952DE" w:rsidRDefault="003952DE" w:rsidP="003952DE">
      <w:pPr>
        <w:numPr>
          <w:ilvl w:val="0"/>
          <w:numId w:val="4"/>
        </w:numPr>
        <w:suppressAutoHyphens w:val="0"/>
        <w:spacing w:after="160"/>
        <w:contextualSpacing/>
        <w:jc w:val="both"/>
        <w:rPr>
          <w:rFonts w:eastAsia="Calibri"/>
          <w:b/>
          <w:bCs/>
          <w:lang w:eastAsia="en-US"/>
        </w:rPr>
      </w:pPr>
      <w:r w:rsidRPr="003952DE">
        <w:rPr>
          <w:rFonts w:eastAsia="Calibri"/>
          <w:b/>
          <w:bCs/>
          <w:lang w:eastAsia="en-US"/>
        </w:rPr>
        <w:t>Vastutus</w:t>
      </w:r>
    </w:p>
    <w:p w14:paraId="6036FF07" w14:textId="7777777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648FA076" w14:textId="77777777" w:rsidR="003276A0" w:rsidRDefault="003952DE" w:rsidP="003276A0">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rahaliste kohustuste täitmisega viivitamise korral on Poolel õigus nõuda kohustust rikkunud Poolelt viivist iga viivitatud päeva eest tähtaegselt tasumata summast 0,05 (null koma null viis) % päevas. </w:t>
      </w:r>
    </w:p>
    <w:p w14:paraId="48708CBA" w14:textId="1DFBF14F" w:rsidR="003276A0" w:rsidRPr="003276A0" w:rsidRDefault="003276A0" w:rsidP="003276A0">
      <w:pPr>
        <w:numPr>
          <w:ilvl w:val="1"/>
          <w:numId w:val="4"/>
        </w:numPr>
        <w:suppressAutoHyphens w:val="0"/>
        <w:spacing w:after="160"/>
        <w:contextualSpacing/>
        <w:jc w:val="both"/>
        <w:rPr>
          <w:rFonts w:eastAsia="Calibri"/>
          <w:lang w:eastAsia="en-US"/>
        </w:rPr>
      </w:pPr>
      <w:r>
        <w:t xml:space="preserve">Kui Teenuse osutaja ei pea Lepingus sätestatud </w:t>
      </w:r>
      <w:r w:rsidR="00272001">
        <w:t>Teenuse</w:t>
      </w:r>
      <w:r>
        <w:t xml:space="preserve"> tähtaegadest kinni temast sõltuvatel põhjustel, on Teenuse saajal õigus nõuda Teenuse osutajalt leppetrahvi </w:t>
      </w:r>
      <w:r w:rsidR="00272001">
        <w:t>Teenuse</w:t>
      </w:r>
      <w:r>
        <w:t xml:space="preserve"> maksumusest 0,5% (null koma viis)</w:t>
      </w:r>
      <w:r w:rsidRPr="00A75F89">
        <w:t xml:space="preserve"> </w:t>
      </w:r>
      <w:r>
        <w:t xml:space="preserve">päevas iga viivitatud päeva eest. </w:t>
      </w:r>
    </w:p>
    <w:p w14:paraId="4390679D" w14:textId="22767EEF"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Lepingus ei ole sätestatud teisiti, on </w:t>
      </w:r>
      <w:r w:rsidR="003276A0">
        <w:rPr>
          <w:rFonts w:eastAsia="Calibri"/>
          <w:lang w:eastAsia="en-US"/>
        </w:rPr>
        <w:t xml:space="preserve">teiste </w:t>
      </w:r>
      <w:r w:rsidRPr="003952DE">
        <w:rPr>
          <w:rFonts w:eastAsia="Calibri"/>
          <w:lang w:eastAsia="en-US"/>
        </w:rPr>
        <w:t xml:space="preserve">mitterahaliste kohustuste rikkumise korral teisel Poolel õigus nõuda leppetrahvi summas </w:t>
      </w:r>
      <w:r w:rsidR="00145049">
        <w:rPr>
          <w:rFonts w:eastAsia="Calibri"/>
          <w:lang w:eastAsia="en-US"/>
        </w:rPr>
        <w:t>10</w:t>
      </w:r>
      <w:r w:rsidRPr="003952DE">
        <w:rPr>
          <w:rFonts w:eastAsia="Calibri"/>
          <w:lang w:eastAsia="en-US"/>
        </w:rPr>
        <w:t>00 (</w:t>
      </w:r>
      <w:r w:rsidR="00145049">
        <w:rPr>
          <w:rFonts w:eastAsia="Calibri"/>
          <w:lang w:eastAsia="en-US"/>
        </w:rPr>
        <w:t>tuhat</w:t>
      </w:r>
      <w:r w:rsidRPr="003952DE">
        <w:rPr>
          <w:rFonts w:eastAsia="Calibri"/>
          <w:lang w:eastAsia="en-US"/>
        </w:rPr>
        <w:t>) eurot.</w:t>
      </w:r>
    </w:p>
    <w:p w14:paraId="44B8F451" w14:textId="42B15DE0"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w:t>
      </w:r>
      <w:r w:rsidR="003276A0">
        <w:rPr>
          <w:rFonts w:eastAsia="Calibri"/>
          <w:lang w:eastAsia="en-US"/>
        </w:rPr>
        <w:t>Pool</w:t>
      </w:r>
      <w:r w:rsidRPr="003952DE">
        <w:rPr>
          <w:rFonts w:eastAsia="Calibri"/>
          <w:lang w:eastAsia="en-US"/>
        </w:rPr>
        <w:t xml:space="preserve"> rikub Lepingu punktist </w:t>
      </w:r>
      <w:r w:rsidR="00863361">
        <w:rPr>
          <w:rFonts w:eastAsia="Calibri"/>
          <w:lang w:eastAsia="en-US"/>
        </w:rPr>
        <w:t>7</w:t>
      </w:r>
      <w:r w:rsidRPr="003952DE">
        <w:rPr>
          <w:rFonts w:eastAsia="Calibri"/>
          <w:lang w:eastAsia="en-US"/>
        </w:rPr>
        <w:t xml:space="preserve"> tulenevat kohustust, on </w:t>
      </w:r>
      <w:r w:rsidR="003276A0">
        <w:rPr>
          <w:rFonts w:eastAsia="Calibri"/>
          <w:lang w:eastAsia="en-US"/>
        </w:rPr>
        <w:t>teisel Poolel</w:t>
      </w:r>
      <w:r w:rsidRPr="003952DE">
        <w:rPr>
          <w:rFonts w:eastAsia="Calibri"/>
          <w:lang w:eastAsia="en-US"/>
        </w:rPr>
        <w:t xml:space="preserve"> õigus nõuda </w:t>
      </w:r>
      <w:r w:rsidR="003276A0">
        <w:rPr>
          <w:rFonts w:eastAsia="Calibri"/>
          <w:lang w:eastAsia="en-US"/>
        </w:rPr>
        <w:t>süüdiolevalt Poolelt</w:t>
      </w:r>
      <w:r w:rsidRPr="003952DE">
        <w:rPr>
          <w:rFonts w:eastAsia="Calibri"/>
          <w:lang w:eastAsia="en-US"/>
        </w:rPr>
        <w:t xml:space="preserve"> leppetrahvi summas </w:t>
      </w:r>
      <w:r w:rsidR="00341E10">
        <w:rPr>
          <w:rFonts w:eastAsia="Calibri"/>
          <w:lang w:eastAsia="en-US"/>
        </w:rPr>
        <w:t>500</w:t>
      </w:r>
      <w:r w:rsidRPr="003952DE">
        <w:rPr>
          <w:rFonts w:eastAsia="Calibri"/>
          <w:lang w:eastAsia="en-US"/>
        </w:rPr>
        <w:t xml:space="preserve"> (</w:t>
      </w:r>
      <w:r w:rsidR="00341E10">
        <w:rPr>
          <w:rFonts w:eastAsia="Calibri"/>
          <w:lang w:eastAsia="en-US"/>
        </w:rPr>
        <w:t>viissada</w:t>
      </w:r>
      <w:r w:rsidRPr="003952DE">
        <w:rPr>
          <w:rFonts w:eastAsia="Calibri"/>
          <w:lang w:eastAsia="en-US"/>
        </w:rPr>
        <w:t xml:space="preserve">) eurot iga rikkumise kohta.  </w:t>
      </w:r>
    </w:p>
    <w:p w14:paraId="51FBC711" w14:textId="57DF98BE"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Leppetrahvi nõudmine ei välista </w:t>
      </w:r>
      <w:r w:rsidR="003276A0">
        <w:rPr>
          <w:rFonts w:eastAsia="Calibri"/>
          <w:lang w:eastAsia="en-US"/>
        </w:rPr>
        <w:t>Teenuse saaja</w:t>
      </w:r>
      <w:r w:rsidRPr="003952DE">
        <w:rPr>
          <w:rFonts w:eastAsia="Calibri"/>
          <w:lang w:eastAsia="en-US"/>
        </w:rPr>
        <w:t xml:space="preserve"> õigust kasutada </w:t>
      </w:r>
      <w:r w:rsidR="003276A0">
        <w:rPr>
          <w:rFonts w:eastAsia="Calibri"/>
          <w:lang w:eastAsia="en-US"/>
        </w:rPr>
        <w:t>Teenuse osutaja</w:t>
      </w:r>
      <w:r w:rsidRPr="003952DE">
        <w:rPr>
          <w:rFonts w:eastAsia="Calibri"/>
          <w:lang w:eastAsia="en-US"/>
        </w:rPr>
        <w:t xml:space="preserve"> suhtes teisi seadusega ettenähtud õiguskaitsevahendeid. Lisaks leppetrahvi tasumisele on </w:t>
      </w:r>
      <w:r w:rsidR="003276A0">
        <w:rPr>
          <w:rFonts w:eastAsia="Calibri"/>
          <w:lang w:eastAsia="en-US"/>
        </w:rPr>
        <w:t>Teenuse saajal</w:t>
      </w:r>
      <w:r w:rsidRPr="003952DE">
        <w:rPr>
          <w:rFonts w:eastAsia="Calibri"/>
          <w:lang w:eastAsia="en-US"/>
        </w:rPr>
        <w:t xml:space="preserve"> õigus nõuda </w:t>
      </w:r>
      <w:r w:rsidR="003276A0">
        <w:rPr>
          <w:rFonts w:eastAsia="Calibri"/>
          <w:lang w:eastAsia="en-US"/>
        </w:rPr>
        <w:t>Teenuse osutajalt</w:t>
      </w:r>
      <w:r w:rsidRPr="003952DE">
        <w:rPr>
          <w:rFonts w:eastAsia="Calibri"/>
          <w:lang w:eastAsia="en-US"/>
        </w:rPr>
        <w:t xml:space="preserve"> Lepingu täitmist ja/või kahju hüvitamist osas, mida leppetrahv ei katnud. Leppetrahvi maksmine ja kahju hüvitamine ei vabasta </w:t>
      </w:r>
      <w:r w:rsidR="003276A0">
        <w:rPr>
          <w:rFonts w:eastAsia="Calibri"/>
          <w:lang w:eastAsia="en-US"/>
        </w:rPr>
        <w:t>Teenuse osutajat</w:t>
      </w:r>
      <w:r w:rsidRPr="003952DE">
        <w:rPr>
          <w:rFonts w:eastAsia="Calibri"/>
          <w:lang w:eastAsia="en-US"/>
        </w:rPr>
        <w:t xml:space="preserve"> oma lepinguliste kohustuste edasisest täitmisest.</w:t>
      </w:r>
    </w:p>
    <w:p w14:paraId="3B790056" w14:textId="7777777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Leppetrahvid ja viivised tuleb tasuda 21 (kahekümne ühe) kalendripäeva jooksul arvates vastava nõude saamisest. </w:t>
      </w:r>
    </w:p>
    <w:p w14:paraId="168CC30C" w14:textId="0D817BDA"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color w:val="000000" w:themeColor="text1"/>
          <w:lang w:eastAsia="en-US"/>
        </w:rPr>
        <w:t>Pooltel on vastastikuse tasaarveldamise võimalus.</w:t>
      </w:r>
    </w:p>
    <w:p w14:paraId="2BA4DE6A" w14:textId="77777777" w:rsidR="003952DE" w:rsidRPr="003952DE" w:rsidRDefault="003952DE" w:rsidP="003952DE">
      <w:pPr>
        <w:jc w:val="both"/>
        <w:rPr>
          <w:bCs/>
        </w:rPr>
      </w:pPr>
    </w:p>
    <w:p w14:paraId="324466F9" w14:textId="0D1D6525" w:rsidR="003276A0" w:rsidRPr="003276A0" w:rsidRDefault="00854C9B" w:rsidP="003276A0">
      <w:pPr>
        <w:pStyle w:val="Loendilik"/>
        <w:numPr>
          <w:ilvl w:val="0"/>
          <w:numId w:val="4"/>
        </w:numPr>
        <w:jc w:val="both"/>
        <w:rPr>
          <w:b/>
        </w:rPr>
      </w:pPr>
      <w:r w:rsidRPr="00FA2011">
        <w:rPr>
          <w:b/>
        </w:rPr>
        <w:t xml:space="preserve">Lepingu </w:t>
      </w:r>
      <w:r w:rsidR="003276A0">
        <w:rPr>
          <w:b/>
        </w:rPr>
        <w:t>jõustumine, muutmine ja lõpetamine</w:t>
      </w:r>
    </w:p>
    <w:p w14:paraId="74CA4C9A" w14:textId="3068C062" w:rsidR="00104DF4" w:rsidRPr="003276A0" w:rsidRDefault="003276A0" w:rsidP="000C73DC">
      <w:pPr>
        <w:pStyle w:val="Loendilik"/>
        <w:numPr>
          <w:ilvl w:val="1"/>
          <w:numId w:val="4"/>
        </w:numPr>
        <w:jc w:val="both"/>
        <w:rPr>
          <w:bCs/>
        </w:rPr>
      </w:pPr>
      <w:r w:rsidRPr="0012074D">
        <w:rPr>
          <w:rFonts w:eastAsia="Calibri"/>
          <w:lang w:eastAsia="en-US"/>
        </w:rPr>
        <w:lastRenderedPageBreak/>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rsidR="00854C9B">
        <w:t>ja keht</w:t>
      </w:r>
      <w:r w:rsidR="00104DF4">
        <w:t>i</w:t>
      </w:r>
      <w:r w:rsidR="00854C9B">
        <w:t xml:space="preserve">b kuni Lepingust tulenevate kohustuste nõuetekohase täitmiseni või </w:t>
      </w:r>
      <w:r>
        <w:t>kuni Lepingu ennetähtaegse lõpetamiseni.</w:t>
      </w:r>
    </w:p>
    <w:p w14:paraId="3DA94EC3" w14:textId="6B6125A6" w:rsidR="003276A0" w:rsidRDefault="003276A0" w:rsidP="003276A0">
      <w:pPr>
        <w:widowControl w:val="0"/>
        <w:numPr>
          <w:ilvl w:val="1"/>
          <w:numId w:val="4"/>
        </w:numPr>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37D6CFB3" w14:textId="2102E6C0" w:rsidR="003276A0" w:rsidRPr="003276A0" w:rsidRDefault="003276A0" w:rsidP="003276A0">
      <w:pPr>
        <w:widowControl w:val="0"/>
        <w:numPr>
          <w:ilvl w:val="1"/>
          <w:numId w:val="4"/>
        </w:numPr>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w:t>
      </w:r>
      <w:r w:rsidR="008A7B85">
        <w:rPr>
          <w:rFonts w:eastAsia="Calibri"/>
          <w:lang w:eastAsia="en-US"/>
        </w:rPr>
        <w:t>10</w:t>
      </w:r>
      <w:r w:rsidRPr="003276A0">
        <w:rPr>
          <w:rFonts w:eastAsia="Calibri"/>
          <w:lang w:eastAsia="en-US"/>
        </w:rPr>
        <w:t xml:space="preserve">.2. mõistes. </w:t>
      </w:r>
    </w:p>
    <w:p w14:paraId="3FA9851B" w14:textId="34A090D3" w:rsidR="003276A0" w:rsidRDefault="003276A0" w:rsidP="003276A0">
      <w:pPr>
        <w:numPr>
          <w:ilvl w:val="1"/>
          <w:numId w:val="4"/>
        </w:numPr>
        <w:suppressAutoHyphens w:val="0"/>
        <w:spacing w:after="160"/>
        <w:contextualSpacing/>
        <w:jc w:val="both"/>
        <w:rPr>
          <w:rFonts w:eastAsia="Calibri"/>
          <w:lang w:eastAsia="en-US"/>
        </w:rPr>
      </w:pPr>
      <w:r w:rsidRPr="003276A0">
        <w:rPr>
          <w:rFonts w:eastAsia="Calibri"/>
          <w:lang w:eastAsia="en-US"/>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0EE0C400" w14:textId="0672979D" w:rsidR="003276A0" w:rsidRDefault="003276A0" w:rsidP="003276A0">
      <w:pPr>
        <w:numPr>
          <w:ilvl w:val="1"/>
          <w:numId w:val="4"/>
        </w:numPr>
        <w:suppressAutoHyphens w:val="0"/>
        <w:spacing w:after="160"/>
        <w:contextualSpacing/>
        <w:jc w:val="both"/>
        <w:rPr>
          <w:rFonts w:eastAsia="Calibri"/>
          <w:lang w:eastAsia="en-US"/>
        </w:rPr>
      </w:pPr>
      <w:r w:rsidRPr="00616F30">
        <w:rPr>
          <w:rFonts w:eastAsia="Calibri"/>
          <w:lang w:eastAsia="en-US"/>
        </w:rPr>
        <w:t xml:space="preserve">Lepingu ülesütlemise kohta edastab </w:t>
      </w:r>
      <w:r>
        <w:rPr>
          <w:rFonts w:eastAsia="Calibri"/>
          <w:lang w:eastAsia="en-US"/>
        </w:rPr>
        <w:t>P</w:t>
      </w:r>
      <w:r w:rsidRPr="00616F30">
        <w:rPr>
          <w:rFonts w:eastAsia="Calibri"/>
          <w:lang w:eastAsia="en-US"/>
        </w:rPr>
        <w:t xml:space="preserve">ool teisele </w:t>
      </w:r>
      <w:r>
        <w:rPr>
          <w:rFonts w:eastAsia="Calibri"/>
          <w:lang w:eastAsia="en-US"/>
        </w:rPr>
        <w:t>P</w:t>
      </w:r>
      <w:r w:rsidRPr="00616F30">
        <w:rPr>
          <w:rFonts w:eastAsia="Calibri"/>
          <w:lang w:eastAsia="en-US"/>
        </w:rPr>
        <w:t xml:space="preserve">oolele vastavalt punktile </w:t>
      </w:r>
      <w:r w:rsidR="008A7B85">
        <w:rPr>
          <w:rFonts w:eastAsia="Calibri"/>
          <w:lang w:eastAsia="en-US"/>
        </w:rPr>
        <w:t>6</w:t>
      </w:r>
      <w:r>
        <w:rPr>
          <w:rFonts w:eastAsia="Calibri"/>
          <w:lang w:eastAsia="en-US"/>
        </w:rPr>
        <w:t>.6.</w:t>
      </w:r>
      <w:r w:rsidRPr="00F57A45">
        <w:rPr>
          <w:rFonts w:eastAsia="Calibri"/>
          <w:lang w:eastAsia="en-US"/>
        </w:rPr>
        <w:t xml:space="preserve"> kirjaliku Lepingu ülesütlemise avalduse.</w:t>
      </w:r>
    </w:p>
    <w:p w14:paraId="70B1E330" w14:textId="600E2869" w:rsidR="00854C9B" w:rsidRPr="003276A0" w:rsidRDefault="00854C9B" w:rsidP="003276A0">
      <w:pPr>
        <w:numPr>
          <w:ilvl w:val="1"/>
          <w:numId w:val="4"/>
        </w:numPr>
        <w:suppressAutoHyphens w:val="0"/>
        <w:spacing w:after="160"/>
        <w:contextualSpacing/>
        <w:jc w:val="both"/>
        <w:rPr>
          <w:rFonts w:eastAsia="Calibri"/>
          <w:lang w:eastAsia="en-US"/>
        </w:rPr>
      </w:pPr>
      <w:r>
        <w:t xml:space="preserve">Kui Teenuse osutaja ütleb Lepingu </w:t>
      </w:r>
      <w:r w:rsidR="003276A0">
        <w:t xml:space="preserve">üles </w:t>
      </w:r>
      <w:r w:rsidR="00B06EA3">
        <w:t xml:space="preserve">tuginedes </w:t>
      </w:r>
      <w:r w:rsidR="003276A0">
        <w:t xml:space="preserve">punktile </w:t>
      </w:r>
      <w:r w:rsidR="008A7B85">
        <w:t>10</w:t>
      </w:r>
      <w:r w:rsidR="003276A0">
        <w:t>.</w:t>
      </w:r>
      <w:r w:rsidR="008E7188">
        <w:t>4</w:t>
      </w:r>
      <w:r w:rsidR="003276A0">
        <w:t xml:space="preserve">. ning </w:t>
      </w:r>
      <w:r w:rsidR="00145049">
        <w:t>tuvastatakse ülesütlemisavalduse tühisus,</w:t>
      </w:r>
      <w:r>
        <w:t xml:space="preserve"> on Teenuse saajal õigus nõuda Teenuse osutajalt täiendavate kulutuste hüvitamist, mida ta kandis seoses kolmandalt isikult käesolevale Lepingule vastava </w:t>
      </w:r>
      <w:r w:rsidR="009C5D5C">
        <w:t xml:space="preserve">Teenuse </w:t>
      </w:r>
      <w:r>
        <w:t>tellimisega</w:t>
      </w:r>
      <w:r w:rsidR="00145049">
        <w:t xml:space="preserve"> ning mida Teenuse saaja ei oleks pidanud kandma, kui Teenuse osutaja ei oleks alusetult Lepingut ennetähtaegselt üles öelnud</w:t>
      </w:r>
      <w:r>
        <w:t>.</w:t>
      </w:r>
    </w:p>
    <w:p w14:paraId="247CD437" w14:textId="77777777" w:rsidR="00104DF4" w:rsidRPr="00145049" w:rsidRDefault="00104DF4" w:rsidP="00145049">
      <w:pPr>
        <w:jc w:val="both"/>
        <w:rPr>
          <w:bCs/>
        </w:rPr>
      </w:pPr>
    </w:p>
    <w:p w14:paraId="45688093" w14:textId="115C1967" w:rsidR="00A75F89" w:rsidRPr="000C73DC" w:rsidRDefault="00854C9B" w:rsidP="00104DF4">
      <w:pPr>
        <w:pStyle w:val="Loendilik"/>
        <w:numPr>
          <w:ilvl w:val="0"/>
          <w:numId w:val="4"/>
        </w:numPr>
        <w:jc w:val="both"/>
        <w:rPr>
          <w:b/>
        </w:rPr>
      </w:pPr>
      <w:r w:rsidRPr="00FA2011">
        <w:rPr>
          <w:b/>
        </w:rPr>
        <w:t>Lõppsätted</w:t>
      </w:r>
    </w:p>
    <w:p w14:paraId="08B46339"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Pooled ei tohi Lepingust tulenevaid õigusi ja kohustusi kolmandale isikule üle anda ilma teise Poole eelneva kirjaliku nõusolekuta. </w:t>
      </w:r>
    </w:p>
    <w:p w14:paraId="0B4F3F00"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Lepingust tulenevad vaidlused lahendatakse läbirääkimiste teel. Kokkuleppe mittesaavutamisel lahendatakse vaidlus Eesti Vabariigi õigusaktidega sätestatud korras. </w:t>
      </w:r>
    </w:p>
    <w:p w14:paraId="7A30ACCD"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Lepinguga reguleerimata küsimustes juhinduvad pooled Eesti Vabariigis kehtivatest õigusaktidest.</w:t>
      </w:r>
    </w:p>
    <w:p w14:paraId="38623174" w14:textId="77777777" w:rsidR="00145049" w:rsidRDefault="00145049" w:rsidP="00145049">
      <w:pPr>
        <w:numPr>
          <w:ilvl w:val="1"/>
          <w:numId w:val="4"/>
        </w:numPr>
        <w:suppressAutoHyphens w:val="0"/>
        <w:spacing w:after="160"/>
        <w:contextualSpacing/>
        <w:jc w:val="both"/>
        <w:rPr>
          <w:rFonts w:eastAsia="Calibri"/>
          <w:lang w:eastAsia="en-US"/>
        </w:rPr>
      </w:pPr>
      <w:r w:rsidRPr="009F3295">
        <w:rPr>
          <w:rFonts w:eastAsia="Calibri"/>
          <w:lang w:eastAsia="en-US"/>
        </w:rPr>
        <w:t xml:space="preserve">Poolte esindajad kinnitavad, et neil on kõik õigused ja piisavad volitused sõlmida </w:t>
      </w:r>
      <w:r>
        <w:rPr>
          <w:rFonts w:eastAsia="Calibri"/>
          <w:lang w:eastAsia="en-US"/>
        </w:rPr>
        <w:t>L</w:t>
      </w:r>
      <w:r w:rsidRPr="009F3295">
        <w:rPr>
          <w:rFonts w:eastAsia="Calibri"/>
          <w:lang w:eastAsia="en-US"/>
        </w:rPr>
        <w:t xml:space="preserve">eping </w:t>
      </w:r>
      <w:r w:rsidRPr="00145049">
        <w:rPr>
          <w:rFonts w:eastAsia="Calibri"/>
          <w:lang w:eastAsia="en-US"/>
        </w:rPr>
        <w:t>esindatava nimel kooskõlas õigusaktidega ja neile teadaolevalt ei esine ühtegi takistust Lepinguga võetud ja selles sätestatud kohustuste täitmiseks.</w:t>
      </w:r>
    </w:p>
    <w:p w14:paraId="155F3285" w14:textId="46315C6C" w:rsidR="00FF23D8" w:rsidRPr="00FF23D8" w:rsidRDefault="00FF23D8" w:rsidP="00FF23D8">
      <w:pPr>
        <w:numPr>
          <w:ilvl w:val="1"/>
          <w:numId w:val="4"/>
        </w:numPr>
        <w:suppressAutoHyphens w:val="0"/>
        <w:spacing w:after="160"/>
        <w:contextualSpacing/>
        <w:jc w:val="both"/>
        <w:rPr>
          <w:rFonts w:eastAsia="Calibri"/>
          <w:lang w:eastAsia="en-US"/>
        </w:rPr>
      </w:pPr>
      <w:r>
        <w:rPr>
          <w:rFonts w:eastAsia="Calibri"/>
          <w:lang w:eastAsia="en-US"/>
        </w:rPr>
        <w:t xml:space="preserve">Teenuse osutaja kinnitab, et on </w:t>
      </w:r>
      <w:r w:rsidRPr="00254090">
        <w:rPr>
          <w:rFonts w:eastAsia="Calibri"/>
          <w:color w:val="000000" w:themeColor="text1"/>
          <w:lang w:eastAsia="en-US"/>
        </w:rPr>
        <w:t>andnud Teenuse saajale õiget informatsiooni oma oskuste kohta, omab Teenuse osutamiseks nõutavaid oskusi ja kvalifikatsiooni, tema poolt esitatud andmed on õiged ja täielikud ega esine asjaolusid, mis piiravad või välistavad tema õigust sõlmida käesolev Leping.</w:t>
      </w:r>
    </w:p>
    <w:p w14:paraId="2A100815" w14:textId="3D0F6C2F" w:rsidR="00145049" w:rsidRPr="00145049" w:rsidRDefault="00145049" w:rsidP="00145049">
      <w:pPr>
        <w:numPr>
          <w:ilvl w:val="1"/>
          <w:numId w:val="4"/>
        </w:numPr>
        <w:suppressAutoHyphens w:val="0"/>
        <w:spacing w:after="160"/>
        <w:contextualSpacing/>
        <w:jc w:val="both"/>
        <w:rPr>
          <w:rFonts w:eastAsia="Calibri"/>
          <w:lang w:eastAsia="en-US"/>
        </w:rPr>
      </w:pPr>
      <w:r>
        <w:rPr>
          <w:rFonts w:eastAsia="Calibri"/>
          <w:lang w:eastAsia="en-US"/>
        </w:rPr>
        <w:t>Teenuse osutajal</w:t>
      </w:r>
      <w:r w:rsidRPr="00145049">
        <w:rPr>
          <w:rFonts w:eastAsia="Calibri"/>
          <w:lang w:eastAsia="en-US"/>
        </w:rPr>
        <w:t xml:space="preserve"> ei ole õigust anda Lepingust tulenevaid õigusi või kohustusi üle kolmandale isikule ilma </w:t>
      </w:r>
      <w:r>
        <w:rPr>
          <w:rFonts w:eastAsia="Calibri"/>
          <w:lang w:eastAsia="en-US"/>
        </w:rPr>
        <w:t>Teenuse saaja</w:t>
      </w:r>
      <w:r w:rsidRPr="00145049">
        <w:rPr>
          <w:rFonts w:eastAsia="Calibri"/>
          <w:lang w:eastAsia="en-US"/>
        </w:rPr>
        <w:t xml:space="preserve"> eelneva kirjaliku nõusolekuta. Kolmanda isiku kasutamisel vastava nõusoleku olemasolu korral vastutab Lepingu täitmise eest </w:t>
      </w:r>
      <w:r>
        <w:rPr>
          <w:rFonts w:eastAsia="Calibri"/>
          <w:lang w:eastAsia="en-US"/>
        </w:rPr>
        <w:t>Teenuse saaja</w:t>
      </w:r>
      <w:r w:rsidRPr="00145049">
        <w:rPr>
          <w:rFonts w:eastAsia="Calibri"/>
          <w:lang w:eastAsia="en-US"/>
        </w:rPr>
        <w:t xml:space="preserve"> ees </w:t>
      </w:r>
      <w:r>
        <w:rPr>
          <w:rFonts w:eastAsia="Calibri"/>
          <w:lang w:eastAsia="en-US"/>
        </w:rPr>
        <w:t>Teenuse osutaja</w:t>
      </w:r>
      <w:r w:rsidRPr="00145049">
        <w:rPr>
          <w:rFonts w:eastAsia="Calibri"/>
          <w:lang w:eastAsia="en-US"/>
        </w:rPr>
        <w:t>.</w:t>
      </w:r>
    </w:p>
    <w:p w14:paraId="4DDF9A6E" w14:textId="102149DD" w:rsidR="00135BE5" w:rsidRPr="00145049" w:rsidRDefault="00145049" w:rsidP="00254090">
      <w:pPr>
        <w:numPr>
          <w:ilvl w:val="1"/>
          <w:numId w:val="4"/>
        </w:numPr>
        <w:suppressAutoHyphens w:val="0"/>
        <w:spacing w:after="160"/>
        <w:contextualSpacing/>
        <w:jc w:val="both"/>
      </w:pPr>
      <w:r w:rsidRPr="00145049">
        <w:rPr>
          <w:rFonts w:eastAsia="Calibri"/>
          <w:lang w:eastAsia="en-US"/>
        </w:rPr>
        <w:t>Lepingu sisu on avalik teave.</w:t>
      </w:r>
    </w:p>
    <w:p w14:paraId="0606040C" w14:textId="77777777" w:rsidR="00A75F89" w:rsidRDefault="00A75F89" w:rsidP="00A75F89">
      <w:pPr>
        <w:jc w:val="both"/>
      </w:pPr>
    </w:p>
    <w:p w14:paraId="7CF8DBB4" w14:textId="77777777" w:rsidR="00254090" w:rsidRPr="00145049" w:rsidRDefault="00254090" w:rsidP="00A75F89">
      <w:pPr>
        <w:jc w:val="both"/>
      </w:pPr>
    </w:p>
    <w:p w14:paraId="2FD5E560" w14:textId="77777777" w:rsidR="00A75F89" w:rsidRDefault="00A75F89" w:rsidP="00A75F89">
      <w:pPr>
        <w:jc w:val="both"/>
        <w:rPr>
          <w:b/>
        </w:rPr>
      </w:pPr>
      <w:r>
        <w:rPr>
          <w:b/>
        </w:rPr>
        <w:t>Poolte allkirjad:</w:t>
      </w:r>
    </w:p>
    <w:p w14:paraId="3BCD6360" w14:textId="77777777" w:rsidR="00A75F89" w:rsidRDefault="00A75F89" w:rsidP="00A75F89">
      <w:pPr>
        <w:jc w:val="both"/>
      </w:pPr>
    </w:p>
    <w:p w14:paraId="70B3B7A5" w14:textId="2047A2AD" w:rsidR="00A75F89" w:rsidRDefault="00B91DFF" w:rsidP="00A00F2C">
      <w:r>
        <w:t xml:space="preserve">Kristi Talving </w:t>
      </w:r>
      <w:r w:rsidR="005156EB">
        <w:tab/>
        <w:t xml:space="preserve">   </w:t>
      </w:r>
      <w:r w:rsidR="00F50439">
        <w:t xml:space="preserve">        </w:t>
      </w:r>
      <w:r w:rsidR="00F1196F">
        <w:t xml:space="preserve">            </w:t>
      </w:r>
      <w:r w:rsidR="00D037A6">
        <w:tab/>
      </w:r>
      <w:r w:rsidR="00D037A6">
        <w:tab/>
      </w:r>
      <w:r w:rsidR="00D037A6">
        <w:tab/>
      </w:r>
      <w:r w:rsidR="000E6086">
        <w:t xml:space="preserve">        </w:t>
      </w:r>
      <w:r>
        <w:t xml:space="preserve">            </w:t>
      </w:r>
      <w:r w:rsidR="00145049">
        <w:t>eesnimi perekonnanimi</w:t>
      </w:r>
      <w:r w:rsidR="00A00F2C">
        <w:t xml:space="preserve">                                                     </w:t>
      </w:r>
      <w:r w:rsidR="00D037A6">
        <w:br/>
        <w:t>peadirektor</w:t>
      </w:r>
      <w:r w:rsidR="000E6086">
        <w:t xml:space="preserve">                                             </w:t>
      </w:r>
      <w:r>
        <w:t xml:space="preserve">                            </w:t>
      </w:r>
      <w:r w:rsidR="00145049">
        <w:t>esindusõiguse alus</w:t>
      </w:r>
    </w:p>
    <w:p w14:paraId="39991C31" w14:textId="0F395E10" w:rsidR="00A75F89" w:rsidRDefault="00A75F89" w:rsidP="00A00F2C"/>
    <w:p w14:paraId="41DB6954" w14:textId="77777777" w:rsidR="00F1196F" w:rsidRDefault="00F1196F" w:rsidP="00A00F2C"/>
    <w:p w14:paraId="55FEDB3D" w14:textId="72119627" w:rsidR="00166B7F" w:rsidRDefault="00A75F89" w:rsidP="00A00F2C">
      <w:r>
        <w:t>(allkirjastatud digitaalselt)</w:t>
      </w:r>
      <w:r w:rsidR="00F1196F">
        <w:t xml:space="preserve">                                      </w:t>
      </w:r>
      <w:r w:rsidR="00A00F2C">
        <w:t xml:space="preserve">           </w:t>
      </w:r>
      <w:r w:rsidR="00F1196F">
        <w:t>(allkirjastatud digitaalselt)</w:t>
      </w:r>
    </w:p>
    <w:sectPr w:rsidR="00166B7F" w:rsidSect="00166B7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851C" w14:textId="77777777" w:rsidR="0012137C" w:rsidRDefault="0012137C" w:rsidP="00D5484D">
      <w:r>
        <w:separator/>
      </w:r>
    </w:p>
  </w:endnote>
  <w:endnote w:type="continuationSeparator" w:id="0">
    <w:p w14:paraId="4A427996" w14:textId="77777777" w:rsidR="0012137C" w:rsidRDefault="0012137C" w:rsidP="00D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58AD" w14:textId="77777777" w:rsidR="0012137C" w:rsidRDefault="0012137C" w:rsidP="00D5484D">
      <w:r>
        <w:separator/>
      </w:r>
    </w:p>
  </w:footnote>
  <w:footnote w:type="continuationSeparator" w:id="0">
    <w:p w14:paraId="31EA7F00" w14:textId="77777777" w:rsidR="0012137C" w:rsidRDefault="0012137C" w:rsidP="00D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24F2" w14:textId="7395DC00" w:rsidR="00D5484D" w:rsidRDefault="00254090" w:rsidP="00D5484D">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4"/>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3FF0A11"/>
    <w:multiLevelType w:val="hybridMultilevel"/>
    <w:tmpl w:val="271A8538"/>
    <w:lvl w:ilvl="0" w:tplc="E67A872A">
      <w:start w:val="1"/>
      <w:numFmt w:val="decimal"/>
      <w:lvlText w:val="1.%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4A820EA"/>
    <w:multiLevelType w:val="multilevel"/>
    <w:tmpl w:val="B8564528"/>
    <w:lvl w:ilvl="0">
      <w:start w:val="1"/>
      <w:numFmt w:val="decimal"/>
      <w:lvlText w:val="%1."/>
      <w:lvlJc w:val="left"/>
      <w:pPr>
        <w:ind w:left="360" w:hanging="360"/>
      </w:p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D6641"/>
    <w:multiLevelType w:val="hybridMultilevel"/>
    <w:tmpl w:val="76D2C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A1346E"/>
    <w:multiLevelType w:val="multilevel"/>
    <w:tmpl w:val="330CDE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41DC6"/>
    <w:multiLevelType w:val="hybridMultilevel"/>
    <w:tmpl w:val="D056128E"/>
    <w:lvl w:ilvl="0" w:tplc="F2A43E64">
      <w:start w:val="1"/>
      <w:numFmt w:val="decimal"/>
      <w:lvlText w:val="4.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51003D2"/>
    <w:multiLevelType w:val="multilevel"/>
    <w:tmpl w:val="6486E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948BE"/>
    <w:multiLevelType w:val="multilevel"/>
    <w:tmpl w:val="E8FA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D21F1"/>
    <w:multiLevelType w:val="hybridMultilevel"/>
    <w:tmpl w:val="49FCBC66"/>
    <w:lvl w:ilvl="0" w:tplc="410CF09C">
      <w:start w:val="1"/>
      <w:numFmt w:val="decimal"/>
      <w:lvlText w:val="4.1.%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6323769C"/>
    <w:multiLevelType w:val="multilevel"/>
    <w:tmpl w:val="1472A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8206753">
    <w:abstractNumId w:val="0"/>
  </w:num>
  <w:num w:numId="2" w16cid:durableId="2056001355">
    <w:abstractNumId w:val="1"/>
  </w:num>
  <w:num w:numId="3" w16cid:durableId="177238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44324">
    <w:abstractNumId w:val="4"/>
  </w:num>
  <w:num w:numId="5" w16cid:durableId="838422271">
    <w:abstractNumId w:val="5"/>
  </w:num>
  <w:num w:numId="6" w16cid:durableId="722292230">
    <w:abstractNumId w:val="2"/>
  </w:num>
  <w:num w:numId="7" w16cid:durableId="68240062">
    <w:abstractNumId w:val="3"/>
  </w:num>
  <w:num w:numId="8" w16cid:durableId="2057197025">
    <w:abstractNumId w:val="7"/>
  </w:num>
  <w:num w:numId="9" w16cid:durableId="1648239349">
    <w:abstractNumId w:val="10"/>
  </w:num>
  <w:num w:numId="10" w16cid:durableId="631711547">
    <w:abstractNumId w:val="9"/>
  </w:num>
  <w:num w:numId="11" w16cid:durableId="1153254413">
    <w:abstractNumId w:val="11"/>
  </w:num>
  <w:num w:numId="12" w16cid:durableId="2014674153">
    <w:abstractNumId w:val="8"/>
  </w:num>
  <w:num w:numId="13" w16cid:durableId="1001468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9"/>
    <w:rsid w:val="00022240"/>
    <w:rsid w:val="000330B8"/>
    <w:rsid w:val="00040892"/>
    <w:rsid w:val="00046EE1"/>
    <w:rsid w:val="00051D4E"/>
    <w:rsid w:val="000649CF"/>
    <w:rsid w:val="00071AB1"/>
    <w:rsid w:val="000859C0"/>
    <w:rsid w:val="000943BC"/>
    <w:rsid w:val="000975BF"/>
    <w:rsid w:val="000B54FA"/>
    <w:rsid w:val="000C73DC"/>
    <w:rsid w:val="000E6086"/>
    <w:rsid w:val="000E7BF5"/>
    <w:rsid w:val="00104DF4"/>
    <w:rsid w:val="0012137C"/>
    <w:rsid w:val="00124EC4"/>
    <w:rsid w:val="00127957"/>
    <w:rsid w:val="00134669"/>
    <w:rsid w:val="00135BE5"/>
    <w:rsid w:val="00145049"/>
    <w:rsid w:val="00153274"/>
    <w:rsid w:val="00164932"/>
    <w:rsid w:val="00166B7F"/>
    <w:rsid w:val="00195785"/>
    <w:rsid w:val="001B1B6C"/>
    <w:rsid w:val="001C0C92"/>
    <w:rsid w:val="001C464E"/>
    <w:rsid w:val="00221B62"/>
    <w:rsid w:val="00226B0E"/>
    <w:rsid w:val="00254090"/>
    <w:rsid w:val="00272001"/>
    <w:rsid w:val="00282154"/>
    <w:rsid w:val="002E5037"/>
    <w:rsid w:val="002F5832"/>
    <w:rsid w:val="003059B1"/>
    <w:rsid w:val="003276A0"/>
    <w:rsid w:val="00341E10"/>
    <w:rsid w:val="0035624B"/>
    <w:rsid w:val="0035688E"/>
    <w:rsid w:val="00390876"/>
    <w:rsid w:val="003952DE"/>
    <w:rsid w:val="003A552B"/>
    <w:rsid w:val="003A7323"/>
    <w:rsid w:val="003B0C93"/>
    <w:rsid w:val="003B3D21"/>
    <w:rsid w:val="003C43DC"/>
    <w:rsid w:val="003E66B6"/>
    <w:rsid w:val="00405D3D"/>
    <w:rsid w:val="0040600D"/>
    <w:rsid w:val="00407E5C"/>
    <w:rsid w:val="004158CF"/>
    <w:rsid w:val="00416BB0"/>
    <w:rsid w:val="0042725C"/>
    <w:rsid w:val="004274BB"/>
    <w:rsid w:val="004335B7"/>
    <w:rsid w:val="004368AE"/>
    <w:rsid w:val="0044311B"/>
    <w:rsid w:val="00446699"/>
    <w:rsid w:val="00487609"/>
    <w:rsid w:val="00491FBB"/>
    <w:rsid w:val="004A3984"/>
    <w:rsid w:val="004B2990"/>
    <w:rsid w:val="004C36A4"/>
    <w:rsid w:val="005156EB"/>
    <w:rsid w:val="005456AD"/>
    <w:rsid w:val="0055674E"/>
    <w:rsid w:val="00565917"/>
    <w:rsid w:val="005734D3"/>
    <w:rsid w:val="00592B1B"/>
    <w:rsid w:val="005A3CA2"/>
    <w:rsid w:val="005A73A5"/>
    <w:rsid w:val="005D43FA"/>
    <w:rsid w:val="005D5FCB"/>
    <w:rsid w:val="005E79EF"/>
    <w:rsid w:val="00603CF5"/>
    <w:rsid w:val="006078FD"/>
    <w:rsid w:val="006324B4"/>
    <w:rsid w:val="006444C8"/>
    <w:rsid w:val="00663E11"/>
    <w:rsid w:val="006707C2"/>
    <w:rsid w:val="00672F32"/>
    <w:rsid w:val="006C0AFF"/>
    <w:rsid w:val="006D5AD5"/>
    <w:rsid w:val="006E13E2"/>
    <w:rsid w:val="006E53E8"/>
    <w:rsid w:val="006E5A3C"/>
    <w:rsid w:val="006E7563"/>
    <w:rsid w:val="00702DBA"/>
    <w:rsid w:val="00716E08"/>
    <w:rsid w:val="00716E53"/>
    <w:rsid w:val="00722425"/>
    <w:rsid w:val="00737D51"/>
    <w:rsid w:val="00743F80"/>
    <w:rsid w:val="00754F4D"/>
    <w:rsid w:val="00757F28"/>
    <w:rsid w:val="00770842"/>
    <w:rsid w:val="00771A68"/>
    <w:rsid w:val="00776F49"/>
    <w:rsid w:val="007870EE"/>
    <w:rsid w:val="007B4805"/>
    <w:rsid w:val="007E19B3"/>
    <w:rsid w:val="00824E55"/>
    <w:rsid w:val="008331E6"/>
    <w:rsid w:val="00844F14"/>
    <w:rsid w:val="00854C9B"/>
    <w:rsid w:val="00863361"/>
    <w:rsid w:val="008765B1"/>
    <w:rsid w:val="00896161"/>
    <w:rsid w:val="008A0B48"/>
    <w:rsid w:val="008A7B85"/>
    <w:rsid w:val="008B515D"/>
    <w:rsid w:val="008C0A73"/>
    <w:rsid w:val="008C6160"/>
    <w:rsid w:val="008D4A31"/>
    <w:rsid w:val="008E7188"/>
    <w:rsid w:val="008F5DA8"/>
    <w:rsid w:val="009176CD"/>
    <w:rsid w:val="0092622A"/>
    <w:rsid w:val="00927379"/>
    <w:rsid w:val="00952509"/>
    <w:rsid w:val="00953DFD"/>
    <w:rsid w:val="00973D53"/>
    <w:rsid w:val="009A4B26"/>
    <w:rsid w:val="009C5D5C"/>
    <w:rsid w:val="009E2796"/>
    <w:rsid w:val="009E3AB0"/>
    <w:rsid w:val="00A00F2C"/>
    <w:rsid w:val="00A05D97"/>
    <w:rsid w:val="00A069F7"/>
    <w:rsid w:val="00A50585"/>
    <w:rsid w:val="00A65E8C"/>
    <w:rsid w:val="00A75A53"/>
    <w:rsid w:val="00A75F89"/>
    <w:rsid w:val="00AA6FE8"/>
    <w:rsid w:val="00AA7909"/>
    <w:rsid w:val="00B06EA3"/>
    <w:rsid w:val="00B21DFE"/>
    <w:rsid w:val="00B329DF"/>
    <w:rsid w:val="00B40FC6"/>
    <w:rsid w:val="00B42DAA"/>
    <w:rsid w:val="00B523F8"/>
    <w:rsid w:val="00B645FE"/>
    <w:rsid w:val="00B72AD8"/>
    <w:rsid w:val="00B91DFF"/>
    <w:rsid w:val="00BC48A0"/>
    <w:rsid w:val="00C272AF"/>
    <w:rsid w:val="00C40AF5"/>
    <w:rsid w:val="00C455E3"/>
    <w:rsid w:val="00C91D02"/>
    <w:rsid w:val="00C925EF"/>
    <w:rsid w:val="00CA6C47"/>
    <w:rsid w:val="00CB795B"/>
    <w:rsid w:val="00CD6BB8"/>
    <w:rsid w:val="00CD73EF"/>
    <w:rsid w:val="00CF198D"/>
    <w:rsid w:val="00CF5386"/>
    <w:rsid w:val="00D037A6"/>
    <w:rsid w:val="00D17213"/>
    <w:rsid w:val="00D3287C"/>
    <w:rsid w:val="00D5484D"/>
    <w:rsid w:val="00D82D7E"/>
    <w:rsid w:val="00D9432C"/>
    <w:rsid w:val="00DC5442"/>
    <w:rsid w:val="00DD4D9C"/>
    <w:rsid w:val="00E072F6"/>
    <w:rsid w:val="00E17EA9"/>
    <w:rsid w:val="00E33C86"/>
    <w:rsid w:val="00E341D8"/>
    <w:rsid w:val="00E4430D"/>
    <w:rsid w:val="00E50581"/>
    <w:rsid w:val="00E529B9"/>
    <w:rsid w:val="00E52A24"/>
    <w:rsid w:val="00E562CA"/>
    <w:rsid w:val="00E67888"/>
    <w:rsid w:val="00E828A5"/>
    <w:rsid w:val="00EB253F"/>
    <w:rsid w:val="00EE63FB"/>
    <w:rsid w:val="00EE6756"/>
    <w:rsid w:val="00EE7972"/>
    <w:rsid w:val="00EF2D4A"/>
    <w:rsid w:val="00F1196F"/>
    <w:rsid w:val="00F341E1"/>
    <w:rsid w:val="00F50439"/>
    <w:rsid w:val="00F55E5A"/>
    <w:rsid w:val="00F82A2E"/>
    <w:rsid w:val="00FA2011"/>
    <w:rsid w:val="00FB5AEC"/>
    <w:rsid w:val="00FC5A5F"/>
    <w:rsid w:val="00FE20DA"/>
    <w:rsid w:val="00FF23D8"/>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1D7DD"/>
  <w15:docId w15:val="{0C258461-BD6D-4482-B97F-8B31E66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F89"/>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A75F89"/>
    <w:rPr>
      <w:rFonts w:cs="Times New Roman"/>
      <w:color w:val="0000FF"/>
      <w:u w:val="single"/>
    </w:rPr>
  </w:style>
  <w:style w:type="paragraph" w:styleId="Jutumullitekst">
    <w:name w:val="Balloon Text"/>
    <w:basedOn w:val="Normaallaad"/>
    <w:link w:val="JutumullitekstMrk"/>
    <w:uiPriority w:val="99"/>
    <w:semiHidden/>
    <w:unhideWhenUsed/>
    <w:rsid w:val="000649CF"/>
    <w:rPr>
      <w:rFonts w:ascii="Tahoma" w:hAnsi="Tahoma" w:cs="Tahoma"/>
      <w:sz w:val="16"/>
      <w:szCs w:val="16"/>
    </w:rPr>
  </w:style>
  <w:style w:type="character" w:customStyle="1" w:styleId="JutumullitekstMrk">
    <w:name w:val="Jutumullitekst Märk"/>
    <w:basedOn w:val="Liguvaikefont"/>
    <w:link w:val="Jutumullitekst"/>
    <w:uiPriority w:val="99"/>
    <w:semiHidden/>
    <w:rsid w:val="000649CF"/>
    <w:rPr>
      <w:rFonts w:ascii="Tahoma" w:eastAsia="Times New Roman" w:hAnsi="Tahoma" w:cs="Tahoma"/>
      <w:sz w:val="16"/>
      <w:szCs w:val="16"/>
      <w:lang w:eastAsia="ar-SA"/>
    </w:rPr>
  </w:style>
  <w:style w:type="character" w:styleId="Kommentaariviide">
    <w:name w:val="annotation reference"/>
    <w:basedOn w:val="Liguvaikefont"/>
    <w:uiPriority w:val="99"/>
    <w:semiHidden/>
    <w:unhideWhenUsed/>
    <w:rsid w:val="00603CF5"/>
    <w:rPr>
      <w:sz w:val="16"/>
      <w:szCs w:val="16"/>
    </w:rPr>
  </w:style>
  <w:style w:type="paragraph" w:styleId="Kommentaaritekst">
    <w:name w:val="annotation text"/>
    <w:basedOn w:val="Normaallaad"/>
    <w:link w:val="KommentaaritekstMrk"/>
    <w:uiPriority w:val="99"/>
    <w:unhideWhenUsed/>
    <w:rsid w:val="00603CF5"/>
    <w:rPr>
      <w:sz w:val="20"/>
      <w:szCs w:val="20"/>
    </w:rPr>
  </w:style>
  <w:style w:type="character" w:customStyle="1" w:styleId="KommentaaritekstMrk">
    <w:name w:val="Kommentaari tekst Märk"/>
    <w:basedOn w:val="Liguvaikefont"/>
    <w:link w:val="Kommentaaritekst"/>
    <w:uiPriority w:val="99"/>
    <w:rsid w:val="00603CF5"/>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603CF5"/>
    <w:rPr>
      <w:b/>
      <w:bCs/>
    </w:rPr>
  </w:style>
  <w:style w:type="character" w:customStyle="1" w:styleId="KommentaariteemaMrk">
    <w:name w:val="Kommentaari teema Märk"/>
    <w:basedOn w:val="KommentaaritekstMrk"/>
    <w:link w:val="Kommentaariteema"/>
    <w:uiPriority w:val="99"/>
    <w:semiHidden/>
    <w:rsid w:val="00603CF5"/>
    <w:rPr>
      <w:rFonts w:ascii="Times New Roman" w:eastAsia="Times New Roman" w:hAnsi="Times New Roman" w:cs="Times New Roman"/>
      <w:b/>
      <w:bCs/>
      <w:sz w:val="20"/>
      <w:szCs w:val="20"/>
      <w:lang w:eastAsia="ar-SA"/>
    </w:rPr>
  </w:style>
  <w:style w:type="character" w:styleId="Lahendamatamainimine">
    <w:name w:val="Unresolved Mention"/>
    <w:basedOn w:val="Liguvaikefont"/>
    <w:uiPriority w:val="99"/>
    <w:semiHidden/>
    <w:unhideWhenUsed/>
    <w:rsid w:val="00702DBA"/>
    <w:rPr>
      <w:color w:val="808080"/>
      <w:shd w:val="clear" w:color="auto" w:fill="E6E6E6"/>
    </w:rPr>
  </w:style>
  <w:style w:type="paragraph" w:styleId="Loendilik">
    <w:name w:val="List Paragraph"/>
    <w:basedOn w:val="Normaallaad"/>
    <w:uiPriority w:val="34"/>
    <w:qFormat/>
    <w:rsid w:val="006707C2"/>
    <w:pPr>
      <w:ind w:left="720"/>
      <w:contextualSpacing/>
    </w:pPr>
  </w:style>
  <w:style w:type="paragraph" w:styleId="Pis">
    <w:name w:val="header"/>
    <w:basedOn w:val="Normaallaad"/>
    <w:link w:val="PisMrk"/>
    <w:uiPriority w:val="99"/>
    <w:unhideWhenUsed/>
    <w:rsid w:val="00D5484D"/>
    <w:pPr>
      <w:tabs>
        <w:tab w:val="center" w:pos="4536"/>
        <w:tab w:val="right" w:pos="9072"/>
      </w:tabs>
    </w:pPr>
  </w:style>
  <w:style w:type="character" w:customStyle="1" w:styleId="PisMrk">
    <w:name w:val="Päis Märk"/>
    <w:basedOn w:val="Liguvaikefont"/>
    <w:link w:val="Pis"/>
    <w:uiPriority w:val="99"/>
    <w:rsid w:val="00D5484D"/>
    <w:rPr>
      <w:rFonts w:ascii="Times New Roman" w:eastAsia="Times New Roman" w:hAnsi="Times New Roman" w:cs="Times New Roman"/>
      <w:sz w:val="24"/>
      <w:szCs w:val="24"/>
      <w:lang w:eastAsia="ar-SA"/>
    </w:rPr>
  </w:style>
  <w:style w:type="paragraph" w:styleId="Jalus">
    <w:name w:val="footer"/>
    <w:basedOn w:val="Normaallaad"/>
    <w:link w:val="JalusMrk"/>
    <w:uiPriority w:val="99"/>
    <w:unhideWhenUsed/>
    <w:rsid w:val="00D5484D"/>
    <w:pPr>
      <w:tabs>
        <w:tab w:val="center" w:pos="4536"/>
        <w:tab w:val="right" w:pos="9072"/>
      </w:tabs>
    </w:pPr>
  </w:style>
  <w:style w:type="character" w:customStyle="1" w:styleId="JalusMrk">
    <w:name w:val="Jalus Märk"/>
    <w:basedOn w:val="Liguvaikefont"/>
    <w:link w:val="Jalus"/>
    <w:uiPriority w:val="99"/>
    <w:rsid w:val="00D5484D"/>
    <w:rPr>
      <w:rFonts w:ascii="Times New Roman" w:eastAsia="Times New Roman" w:hAnsi="Times New Roman" w:cs="Times New Roman"/>
      <w:sz w:val="24"/>
      <w:szCs w:val="24"/>
      <w:lang w:eastAsia="ar-SA"/>
    </w:rPr>
  </w:style>
  <w:style w:type="paragraph" w:styleId="Redaktsioon">
    <w:name w:val="Revision"/>
    <w:hidden/>
    <w:uiPriority w:val="99"/>
    <w:semiHidden/>
    <w:rsid w:val="009E2796"/>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3481">
      <w:bodyDiv w:val="1"/>
      <w:marLeft w:val="0"/>
      <w:marRight w:val="0"/>
      <w:marTop w:val="0"/>
      <w:marBottom w:val="0"/>
      <w:divBdr>
        <w:top w:val="none" w:sz="0" w:space="0" w:color="auto"/>
        <w:left w:val="none" w:sz="0" w:space="0" w:color="auto"/>
        <w:bottom w:val="none" w:sz="0" w:space="0" w:color="auto"/>
        <w:right w:val="none" w:sz="0" w:space="0" w:color="auto"/>
      </w:divBdr>
    </w:div>
    <w:div w:id="536282424">
      <w:bodyDiv w:val="1"/>
      <w:marLeft w:val="0"/>
      <w:marRight w:val="0"/>
      <w:marTop w:val="0"/>
      <w:marBottom w:val="0"/>
      <w:divBdr>
        <w:top w:val="none" w:sz="0" w:space="0" w:color="auto"/>
        <w:left w:val="none" w:sz="0" w:space="0" w:color="auto"/>
        <w:bottom w:val="none" w:sz="0" w:space="0" w:color="auto"/>
        <w:right w:val="none" w:sz="0" w:space="0" w:color="auto"/>
      </w:divBdr>
    </w:div>
    <w:div w:id="870924475">
      <w:bodyDiv w:val="1"/>
      <w:marLeft w:val="0"/>
      <w:marRight w:val="0"/>
      <w:marTop w:val="0"/>
      <w:marBottom w:val="0"/>
      <w:divBdr>
        <w:top w:val="none" w:sz="0" w:space="0" w:color="auto"/>
        <w:left w:val="none" w:sz="0" w:space="0" w:color="auto"/>
        <w:bottom w:val="none" w:sz="0" w:space="0" w:color="auto"/>
        <w:right w:val="none" w:sz="0" w:space="0" w:color="auto"/>
      </w:divBdr>
    </w:div>
    <w:div w:id="954024986">
      <w:bodyDiv w:val="1"/>
      <w:marLeft w:val="0"/>
      <w:marRight w:val="0"/>
      <w:marTop w:val="0"/>
      <w:marBottom w:val="0"/>
      <w:divBdr>
        <w:top w:val="none" w:sz="0" w:space="0" w:color="auto"/>
        <w:left w:val="none" w:sz="0" w:space="0" w:color="auto"/>
        <w:bottom w:val="none" w:sz="0" w:space="0" w:color="auto"/>
        <w:right w:val="none" w:sz="0" w:space="0" w:color="auto"/>
      </w:divBdr>
      <w:divsChild>
        <w:div w:id="1409107750">
          <w:marLeft w:val="0"/>
          <w:marRight w:val="0"/>
          <w:marTop w:val="0"/>
          <w:marBottom w:val="0"/>
          <w:divBdr>
            <w:top w:val="none" w:sz="0" w:space="0" w:color="auto"/>
            <w:left w:val="none" w:sz="0" w:space="0" w:color="auto"/>
            <w:bottom w:val="none" w:sz="0" w:space="0" w:color="auto"/>
            <w:right w:val="none" w:sz="0" w:space="0" w:color="auto"/>
          </w:divBdr>
        </w:div>
      </w:divsChild>
    </w:div>
    <w:div w:id="1550652159">
      <w:bodyDiv w:val="1"/>
      <w:marLeft w:val="0"/>
      <w:marRight w:val="0"/>
      <w:marTop w:val="0"/>
      <w:marBottom w:val="0"/>
      <w:divBdr>
        <w:top w:val="none" w:sz="0" w:space="0" w:color="auto"/>
        <w:left w:val="none" w:sz="0" w:space="0" w:color="auto"/>
        <w:bottom w:val="none" w:sz="0" w:space="0" w:color="auto"/>
        <w:right w:val="none" w:sz="0" w:space="0" w:color="auto"/>
      </w:divBdr>
    </w:div>
    <w:div w:id="20443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Rohtla@ttj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C6F5-200E-46AE-8626-DC5533C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2268</Words>
  <Characters>13156</Characters>
  <Application>Microsoft Office Word</Application>
  <DocSecurity>0</DocSecurity>
  <Lines>109</Lines>
  <Paragraphs>30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Helen Rohtla</cp:lastModifiedBy>
  <cp:revision>3</cp:revision>
  <cp:lastPrinted>2015-02-03T07:58:00Z</cp:lastPrinted>
  <dcterms:created xsi:type="dcterms:W3CDTF">2024-05-22T09:37:00Z</dcterms:created>
  <dcterms:modified xsi:type="dcterms:W3CDTF">2024-05-22T09:45:00Z</dcterms:modified>
</cp:coreProperties>
</file>